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A0E" w:rsidRDefault="00D42A0E" w:rsidP="00D42A0E">
      <w:pPr>
        <w:rPr>
          <w:b/>
          <w:bCs/>
        </w:rPr>
      </w:pPr>
      <w:r>
        <w:rPr>
          <w:b/>
          <w:bCs/>
        </w:rPr>
        <w:t>ΠΙΝΑΚΑΣ  ΜΕ ΨΗΦΟΥΣ ΑΝΑ ΔΙΑΤΑΞΗ ΣΤΗ ΨΗΦΟΦΟΡΙΑ ΤΗΣ 14</w:t>
      </w:r>
      <w:r w:rsidRPr="00501C57">
        <w:rPr>
          <w:b/>
          <w:bCs/>
          <w:vertAlign w:val="superscript"/>
        </w:rPr>
        <w:t>Ης</w:t>
      </w:r>
      <w:r>
        <w:rPr>
          <w:b/>
          <w:bCs/>
        </w:rPr>
        <w:t xml:space="preserve"> ΦΕΒΡΟΥΑΡΙΟΥ</w:t>
      </w:r>
    </w:p>
    <w:tbl>
      <w:tblPr>
        <w:tblW w:w="5085" w:type="pct"/>
        <w:tblInd w:w="-132" w:type="dxa"/>
        <w:tblCellMar>
          <w:left w:w="10" w:type="dxa"/>
          <w:right w:w="10" w:type="dxa"/>
        </w:tblCellMar>
        <w:tblLook w:val="04A0"/>
      </w:tblPr>
      <w:tblGrid>
        <w:gridCol w:w="4523"/>
        <w:gridCol w:w="1096"/>
        <w:gridCol w:w="986"/>
        <w:gridCol w:w="987"/>
        <w:gridCol w:w="876"/>
      </w:tblGrid>
      <w:tr w:rsidR="00D42A0E" w:rsidRPr="009C5CE4" w:rsidTr="00C64A59">
        <w:trPr>
          <w:trHeight w:val="315"/>
        </w:trPr>
        <w:tc>
          <w:tcPr>
            <w:tcW w:w="5000" w:type="pct"/>
            <w:gridSpan w:val="5"/>
            <w:tcBorders>
              <w:top w:val="nil"/>
              <w:left w:val="nil"/>
              <w:bottom w:val="nil"/>
              <w:right w:val="nil"/>
            </w:tcBorders>
            <w:shd w:val="clear" w:color="auto" w:fill="auto"/>
            <w:vAlign w:val="bottom"/>
            <w:hideMark/>
          </w:tcPr>
          <w:p w:rsidR="00D42A0E" w:rsidRPr="009C5CE4" w:rsidRDefault="00D42A0E" w:rsidP="00C64A59">
            <w:pPr>
              <w:rPr>
                <w:b/>
                <w:bCs/>
                <w:u w:val="single"/>
              </w:rPr>
            </w:pPr>
            <w:r w:rsidRPr="009C5CE4">
              <w:rPr>
                <w:b/>
                <w:bCs/>
              </w:rPr>
              <w:t xml:space="preserve">Α΄ </w:t>
            </w:r>
            <w:r w:rsidRPr="009C5CE4">
              <w:rPr>
                <w:b/>
                <w:bCs/>
                <w:u w:val="single"/>
              </w:rPr>
              <w:t>ΠΡΟΤΑΣΕΙΣ ΤΗΣ Κ.Ο. ΤΟΥ ΣΥΡΙΖΑ</w:t>
            </w:r>
          </w:p>
        </w:tc>
      </w:tr>
      <w:tr w:rsidR="00D42A0E" w:rsidRPr="009C5CE4" w:rsidTr="00C64A59">
        <w:trPr>
          <w:trHeight w:val="31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C5CE4" w:rsidRDefault="00D42A0E" w:rsidP="00C64A59">
            <w:pPr>
              <w:rPr>
                <w:b/>
                <w:bCs/>
              </w:rPr>
            </w:pPr>
            <w:r w:rsidRPr="009C5CE4">
              <w:rPr>
                <w:b/>
                <w:bCs/>
              </w:rPr>
              <w:t>ΔΙΑΤΑΞΗ</w:t>
            </w:r>
          </w:p>
        </w:tc>
        <w:tc>
          <w:tcPr>
            <w:tcW w:w="647" w:type="pct"/>
            <w:tcBorders>
              <w:top w:val="nil"/>
              <w:left w:val="nil"/>
              <w:bottom w:val="single" w:sz="8" w:space="0" w:color="auto"/>
              <w:right w:val="single" w:sz="8" w:space="0" w:color="auto"/>
            </w:tcBorders>
            <w:shd w:val="clear" w:color="auto" w:fill="auto"/>
            <w:vAlign w:val="center"/>
            <w:hideMark/>
          </w:tcPr>
          <w:p w:rsidR="00D42A0E" w:rsidRPr="009C5CE4" w:rsidRDefault="00D42A0E" w:rsidP="00C64A59">
            <w:pPr>
              <w:rPr>
                <w:b/>
                <w:bCs/>
              </w:rPr>
            </w:pPr>
            <w:r w:rsidRPr="009C5CE4">
              <w:rPr>
                <w:b/>
                <w:bCs/>
              </w:rPr>
              <w:t>ΝΑΙ</w:t>
            </w:r>
          </w:p>
        </w:tc>
        <w:tc>
          <w:tcPr>
            <w:tcW w:w="582" w:type="pct"/>
            <w:tcBorders>
              <w:top w:val="nil"/>
              <w:left w:val="nil"/>
              <w:bottom w:val="single" w:sz="8" w:space="0" w:color="auto"/>
              <w:right w:val="single" w:sz="8" w:space="0" w:color="auto"/>
            </w:tcBorders>
            <w:shd w:val="clear" w:color="auto" w:fill="auto"/>
            <w:vAlign w:val="center"/>
            <w:hideMark/>
          </w:tcPr>
          <w:p w:rsidR="00D42A0E" w:rsidRPr="009C5CE4" w:rsidRDefault="00D42A0E" w:rsidP="00C64A59">
            <w:pPr>
              <w:rPr>
                <w:b/>
                <w:bCs/>
              </w:rPr>
            </w:pPr>
            <w:r w:rsidRPr="009C5CE4">
              <w:rPr>
                <w:b/>
                <w:bCs/>
              </w:rPr>
              <w:t>ΟΧΙ</w:t>
            </w:r>
          </w:p>
        </w:tc>
        <w:tc>
          <w:tcPr>
            <w:tcW w:w="583" w:type="pct"/>
            <w:tcBorders>
              <w:top w:val="nil"/>
              <w:left w:val="nil"/>
              <w:bottom w:val="single" w:sz="8" w:space="0" w:color="auto"/>
              <w:right w:val="single" w:sz="8" w:space="0" w:color="auto"/>
            </w:tcBorders>
            <w:shd w:val="clear" w:color="auto" w:fill="auto"/>
            <w:vAlign w:val="center"/>
            <w:hideMark/>
          </w:tcPr>
          <w:p w:rsidR="00D42A0E" w:rsidRPr="009C5CE4" w:rsidRDefault="00D42A0E" w:rsidP="00C64A59">
            <w:pPr>
              <w:rPr>
                <w:b/>
                <w:bCs/>
              </w:rPr>
            </w:pPr>
            <w:r w:rsidRPr="009C5CE4">
              <w:rPr>
                <w:b/>
                <w:bCs/>
              </w:rPr>
              <w:t>ΠΑΡΩΝ</w:t>
            </w:r>
          </w:p>
        </w:tc>
        <w:tc>
          <w:tcPr>
            <w:tcW w:w="517" w:type="pct"/>
            <w:tcBorders>
              <w:top w:val="single" w:sz="8" w:space="0" w:color="auto"/>
              <w:left w:val="nil"/>
              <w:bottom w:val="single" w:sz="8" w:space="0" w:color="auto"/>
              <w:right w:val="single" w:sz="8" w:space="0" w:color="auto"/>
            </w:tcBorders>
            <w:shd w:val="clear" w:color="auto" w:fill="auto"/>
            <w:vAlign w:val="center"/>
            <w:hideMark/>
          </w:tcPr>
          <w:p w:rsidR="00D42A0E" w:rsidRPr="009C5CE4" w:rsidRDefault="00D42A0E" w:rsidP="00C64A59">
            <w:pPr>
              <w:rPr>
                <w:b/>
                <w:bCs/>
              </w:rPr>
            </w:pPr>
            <w:r w:rsidRPr="009C5CE4">
              <w:rPr>
                <w:b/>
                <w:bCs/>
              </w:rPr>
              <w:t>ΣΥΝΟΛΟ</w:t>
            </w: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3 παρ. 1</w:t>
            </w:r>
          </w:p>
        </w:tc>
        <w:tc>
          <w:tcPr>
            <w:tcW w:w="64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D42A0E" w:rsidRPr="00EA4FCC" w:rsidRDefault="00D42A0E" w:rsidP="00C64A59">
            <w:pPr>
              <w:rPr>
                <w:b/>
                <w:bCs/>
              </w:rPr>
            </w:pPr>
            <w:r w:rsidRPr="00EA4FCC">
              <w:rPr>
                <w:b/>
                <w:bCs/>
              </w:rPr>
              <w:t>151</w:t>
            </w:r>
          </w:p>
        </w:tc>
        <w:tc>
          <w:tcPr>
            <w:tcW w:w="582"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D42A0E" w:rsidRPr="009C5CE4" w:rsidRDefault="00D42A0E" w:rsidP="00C64A59">
            <w:pPr>
              <w:rPr>
                <w:b/>
                <w:bCs/>
              </w:rPr>
            </w:pPr>
            <w:r w:rsidRPr="009C5CE4">
              <w:rPr>
                <w:b/>
                <w:bCs/>
              </w:rPr>
              <w:t>101</w:t>
            </w:r>
          </w:p>
        </w:tc>
        <w:tc>
          <w:tcPr>
            <w:tcW w:w="583"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D42A0E" w:rsidRPr="009C5CE4" w:rsidRDefault="00D42A0E" w:rsidP="00C64A59">
            <w:pPr>
              <w:rPr>
                <w:b/>
                <w:bCs/>
              </w:rPr>
            </w:pPr>
            <w:r w:rsidRPr="009C5CE4">
              <w:rPr>
                <w:b/>
                <w:bCs/>
              </w:rPr>
              <w:t>19</w:t>
            </w:r>
          </w:p>
        </w:tc>
        <w:tc>
          <w:tcPr>
            <w:tcW w:w="51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D42A0E" w:rsidRPr="009C5CE4" w:rsidRDefault="00D42A0E" w:rsidP="00C64A59">
            <w:pPr>
              <w:rPr>
                <w:b/>
                <w:bCs/>
              </w:rPr>
            </w:pPr>
            <w:r w:rsidRPr="009C5CE4">
              <w:rPr>
                <w:b/>
                <w:bCs/>
              </w:rPr>
              <w:t>271</w:t>
            </w:r>
          </w:p>
        </w:tc>
      </w:tr>
      <w:tr w:rsidR="00D42A0E" w:rsidRPr="009C5CE4" w:rsidTr="00C64A59">
        <w:trPr>
          <w:trHeight w:val="31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C5CE4" w:rsidRDefault="00D42A0E" w:rsidP="00C64A59">
            <w:r w:rsidRPr="009C5CE4">
              <w:t>προς την κατεύθυνση κατοχύρωσης της θρησκευτικής ουδετερότητας του κράτους.</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3 παρ. 2</w:t>
            </w:r>
          </w:p>
        </w:tc>
        <w:tc>
          <w:tcPr>
            <w:tcW w:w="64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D42A0E" w:rsidRPr="009C5CE4" w:rsidRDefault="00D42A0E" w:rsidP="00C64A59">
            <w:pPr>
              <w:rPr>
                <w:b/>
                <w:bCs/>
              </w:rPr>
            </w:pPr>
            <w:r w:rsidRPr="009C5CE4">
              <w:rPr>
                <w:b/>
                <w:bCs/>
              </w:rPr>
              <w:t>151</w:t>
            </w:r>
          </w:p>
        </w:tc>
        <w:tc>
          <w:tcPr>
            <w:tcW w:w="582"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D42A0E" w:rsidRPr="009C5CE4" w:rsidRDefault="00D42A0E" w:rsidP="00C64A59">
            <w:pPr>
              <w:rPr>
                <w:b/>
                <w:bCs/>
              </w:rPr>
            </w:pPr>
            <w:r w:rsidRPr="009C5CE4">
              <w:rPr>
                <w:b/>
                <w:bCs/>
              </w:rPr>
              <w:t>102</w:t>
            </w:r>
          </w:p>
        </w:tc>
        <w:tc>
          <w:tcPr>
            <w:tcW w:w="583"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D42A0E" w:rsidRPr="009C5CE4" w:rsidRDefault="00D42A0E" w:rsidP="00C64A59">
            <w:pPr>
              <w:rPr>
                <w:b/>
                <w:bCs/>
              </w:rPr>
            </w:pPr>
            <w:r w:rsidRPr="009C5CE4">
              <w:rPr>
                <w:b/>
                <w:bCs/>
              </w:rPr>
              <w:t>19</w:t>
            </w:r>
          </w:p>
        </w:tc>
        <w:tc>
          <w:tcPr>
            <w:tcW w:w="51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D42A0E" w:rsidRPr="009C5CE4" w:rsidRDefault="00D42A0E" w:rsidP="00C64A59">
            <w:pPr>
              <w:rPr>
                <w:b/>
                <w:bCs/>
              </w:rPr>
            </w:pPr>
            <w:r w:rsidRPr="009C5CE4">
              <w:rPr>
                <w:b/>
                <w:bCs/>
              </w:rPr>
              <w:t>272</w:t>
            </w:r>
          </w:p>
        </w:tc>
      </w:tr>
      <w:tr w:rsidR="00D42A0E" w:rsidRPr="009C5CE4" w:rsidTr="00C64A59">
        <w:trPr>
          <w:trHeight w:val="31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C5CE4" w:rsidRDefault="00D42A0E" w:rsidP="00C64A59">
            <w:r w:rsidRPr="009C5CE4">
              <w:t>προς την κατεύθυνση κατοχύρωσης της θρησκευτικής ουδετερότητας του κράτους.</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3 παρ. 3</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167</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101</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4</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272</w:t>
            </w: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(κατάργηση παραγράφου)</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1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C5CE4" w:rsidRDefault="00D42A0E" w:rsidP="00C64A59">
            <w:r w:rsidRPr="009C5CE4">
              <w:t>κατάργηση της παραγράφου 3 του άρθρου 3</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3</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153</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115</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4</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272</w:t>
            </w: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(εισαγωγή ερμηνευτικής δήλωσης)</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495"/>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r w:rsidRPr="009C5CE4">
              <w:t>προσθήκη ερμηνευτικής δήλωσης προς την κατεύθυνση κατοχύρωσης της θρησκευτικής ουδετερότητας του κράτους.</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single" w:sz="8" w:space="0" w:color="auto"/>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13 παρ. 5</w:t>
            </w:r>
          </w:p>
        </w:tc>
        <w:tc>
          <w:tcPr>
            <w:tcW w:w="64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D42A0E" w:rsidRPr="009C5CE4" w:rsidRDefault="00D42A0E" w:rsidP="00C64A59">
            <w:pPr>
              <w:rPr>
                <w:b/>
                <w:bCs/>
              </w:rPr>
            </w:pPr>
            <w:r w:rsidRPr="009C5CE4">
              <w:rPr>
                <w:b/>
                <w:bCs/>
              </w:rPr>
              <w:t>151</w:t>
            </w:r>
          </w:p>
        </w:tc>
        <w:tc>
          <w:tcPr>
            <w:tcW w:w="582"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D42A0E" w:rsidRPr="009C5CE4" w:rsidRDefault="00D42A0E" w:rsidP="00C64A59">
            <w:pPr>
              <w:rPr>
                <w:b/>
                <w:bCs/>
              </w:rPr>
            </w:pPr>
            <w:r w:rsidRPr="009C5CE4">
              <w:rPr>
                <w:b/>
                <w:bCs/>
              </w:rPr>
              <w:t>101</w:t>
            </w:r>
          </w:p>
        </w:tc>
        <w:tc>
          <w:tcPr>
            <w:tcW w:w="583"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D42A0E" w:rsidRPr="009C5CE4" w:rsidRDefault="00D42A0E" w:rsidP="00C64A59">
            <w:pPr>
              <w:rPr>
                <w:b/>
                <w:bCs/>
              </w:rPr>
            </w:pPr>
            <w:r w:rsidRPr="009C5CE4">
              <w:rPr>
                <w:b/>
                <w:bCs/>
              </w:rPr>
              <w:t>20</w:t>
            </w:r>
          </w:p>
        </w:tc>
        <w:tc>
          <w:tcPr>
            <w:tcW w:w="51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D42A0E" w:rsidRPr="009C5CE4" w:rsidRDefault="00D42A0E" w:rsidP="00C64A59">
            <w:pPr>
              <w:rPr>
                <w:b/>
                <w:bCs/>
              </w:rPr>
            </w:pPr>
            <w:r w:rsidRPr="009C5CE4">
              <w:rPr>
                <w:b/>
                <w:bCs/>
              </w:rPr>
              <w:t>272</w:t>
            </w:r>
          </w:p>
        </w:tc>
      </w:tr>
      <w:tr w:rsidR="00D42A0E" w:rsidRPr="009C5CE4" w:rsidTr="00C64A59">
        <w:trPr>
          <w:trHeight w:val="315"/>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r w:rsidRPr="009C5CE4">
              <w:t>προς την κατεύθυνση κατοχύρωσης του πολιτικού όρκου.</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single" w:sz="8" w:space="0" w:color="auto"/>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21 παρ. 1</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157</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99</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258</w:t>
            </w:r>
          </w:p>
        </w:tc>
      </w:tr>
      <w:tr w:rsidR="00D42A0E" w:rsidRPr="009C5CE4" w:rsidTr="00C64A59">
        <w:trPr>
          <w:trHeight w:val="73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C5CE4" w:rsidRDefault="00D42A0E" w:rsidP="00C64A59">
            <w:r w:rsidRPr="009C5CE4">
              <w:t>προς την κατεύθυνση αναγνώρισης κρατικής εγγύησης ενός αξιοπρεπούς επιπέδου διαβίωσης για όλους, μέσα από καθολικές κοινωνικές υπηρεσίες και εισοδηματικές ενισχύσεις.</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21 παρ. 3</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157</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113</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3</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273</w:t>
            </w:r>
          </w:p>
        </w:tc>
      </w:tr>
      <w:tr w:rsidR="00D42A0E" w:rsidRPr="009C5CE4" w:rsidTr="00C64A59">
        <w:trPr>
          <w:trHeight w:val="735"/>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r w:rsidRPr="009C5CE4">
              <w:t>προς την κατεύθυνση αναγνώρισης κοινωνικού δικαιώματος στην υγεία και υποχρέωσης του κράτους να παρέχει καθολική πρόσβαση σε αποτελεσματικές παροχές υγείας μέσω του Εθνικού Συστήματος Υγείας.</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single" w:sz="8" w:space="0" w:color="auto"/>
              <w:left w:val="single" w:sz="8" w:space="0" w:color="auto"/>
              <w:bottom w:val="nil"/>
              <w:right w:val="nil"/>
            </w:tcBorders>
            <w:shd w:val="clear" w:color="auto" w:fill="auto"/>
            <w:vAlign w:val="center"/>
            <w:hideMark/>
          </w:tcPr>
          <w:p w:rsidR="00D42A0E" w:rsidRPr="009C5CE4" w:rsidRDefault="00D42A0E" w:rsidP="00C64A59">
            <w:pPr>
              <w:rPr>
                <w:b/>
                <w:bCs/>
              </w:rPr>
            </w:pPr>
            <w:r w:rsidRPr="009C5CE4">
              <w:rPr>
                <w:b/>
                <w:bCs/>
              </w:rPr>
              <w:lastRenderedPageBreak/>
              <w:t>Άρθρο 21</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154</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115</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3</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272</w:t>
            </w:r>
          </w:p>
        </w:tc>
      </w:tr>
      <w:tr w:rsidR="00D42A0E" w:rsidRPr="009C5CE4" w:rsidTr="00C64A59">
        <w:trPr>
          <w:trHeight w:val="300"/>
        </w:trPr>
        <w:tc>
          <w:tcPr>
            <w:tcW w:w="2671" w:type="pct"/>
            <w:tcBorders>
              <w:top w:val="nil"/>
              <w:left w:val="single" w:sz="8" w:space="0" w:color="auto"/>
              <w:bottom w:val="nil"/>
              <w:right w:val="nil"/>
            </w:tcBorders>
            <w:shd w:val="clear" w:color="auto" w:fill="auto"/>
            <w:vAlign w:val="center"/>
            <w:hideMark/>
          </w:tcPr>
          <w:p w:rsidR="00D42A0E" w:rsidRPr="009C5CE4" w:rsidRDefault="00D42A0E" w:rsidP="00C64A59">
            <w:pPr>
              <w:rPr>
                <w:b/>
                <w:bCs/>
              </w:rPr>
            </w:pPr>
            <w:r w:rsidRPr="009C5CE4">
              <w:rPr>
                <w:b/>
                <w:bCs/>
              </w:rPr>
              <w:t>(προσθήκη παραγράφου 7)</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975"/>
        </w:trPr>
        <w:tc>
          <w:tcPr>
            <w:tcW w:w="2671" w:type="pct"/>
            <w:tcBorders>
              <w:top w:val="nil"/>
              <w:left w:val="single" w:sz="8" w:space="0" w:color="auto"/>
              <w:bottom w:val="nil"/>
              <w:right w:val="nil"/>
            </w:tcBorders>
            <w:shd w:val="clear" w:color="auto" w:fill="auto"/>
            <w:vAlign w:val="center"/>
            <w:hideMark/>
          </w:tcPr>
          <w:p w:rsidR="00D42A0E" w:rsidRPr="009C5CE4" w:rsidRDefault="00D42A0E" w:rsidP="00C64A59">
            <w:r w:rsidRPr="009C5CE4">
              <w:t>προς την κατεύθυνση κατοχύρωσης του δημόσιου ελέγχου των βασικών κοινωνικών αγαθών, όπως το νερό και η ηλεκτρική ενέργεια, ώστε τα δίκτυα διανομής τους να υπόκεινται σε καθεστώς δημόσιας υπηρεσίας και να τελούν σε δημόσιο έλεγχο και προς την κατεύθυνση κατοχύρωσης των κοινών αγαθών.</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single" w:sz="8" w:space="0" w:color="auto"/>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22 παρ. 1</w:t>
            </w:r>
          </w:p>
        </w:tc>
        <w:tc>
          <w:tcPr>
            <w:tcW w:w="647" w:type="pct"/>
            <w:vMerge w:val="restart"/>
            <w:tcBorders>
              <w:top w:val="nil"/>
              <w:left w:val="nil"/>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172</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96</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5</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273</w:t>
            </w:r>
          </w:p>
        </w:tc>
      </w:tr>
      <w:tr w:rsidR="00D42A0E" w:rsidRPr="009C5CE4" w:rsidTr="00C64A59">
        <w:trPr>
          <w:trHeight w:val="495"/>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r w:rsidRPr="009C5CE4">
              <w:t>προς την κατεύθυνση αναγνώρισης ίσης αμοιβής για ίσης αξίας εργασία ανεξάρτητα από την ηλικία.</w:t>
            </w:r>
          </w:p>
        </w:tc>
        <w:tc>
          <w:tcPr>
            <w:tcW w:w="647" w:type="pct"/>
            <w:vMerge/>
            <w:tcBorders>
              <w:top w:val="nil"/>
              <w:left w:val="nil"/>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single" w:sz="8" w:space="0" w:color="auto"/>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22 παρ. 2</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155</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112</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5</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272</w:t>
            </w:r>
          </w:p>
        </w:tc>
      </w:tr>
      <w:tr w:rsidR="00D42A0E" w:rsidRPr="009C5CE4" w:rsidTr="00C64A59">
        <w:trPr>
          <w:trHeight w:val="735"/>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r w:rsidRPr="009C5CE4">
              <w:t>προς την κατεύθυνση συνταγματικής κατοχύρωσης των συλλογικών διαπραγματεύσεων για τον καθορισμό του ελάχιστου μισθού και του δικαιώματος μονομερούς προσφυγής των κοινωνικών εταίρων στη διαιτησία.</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single" w:sz="8" w:space="0" w:color="auto"/>
              <w:left w:val="single" w:sz="8" w:space="0" w:color="auto"/>
              <w:right w:val="single" w:sz="8" w:space="0" w:color="auto"/>
            </w:tcBorders>
            <w:shd w:val="clear" w:color="auto" w:fill="auto"/>
            <w:vAlign w:val="center"/>
            <w:hideMark/>
          </w:tcPr>
          <w:p w:rsidR="00D42A0E" w:rsidRPr="009C5CE4" w:rsidRDefault="00D42A0E" w:rsidP="00C64A59">
            <w:pPr>
              <w:rPr>
                <w:b/>
                <w:bCs/>
              </w:rPr>
            </w:pPr>
            <w:r w:rsidRPr="009C5CE4">
              <w:rPr>
                <w:b/>
                <w:bCs/>
              </w:rPr>
              <w:t>Άρθρο 22 παρ. 4</w:t>
            </w:r>
          </w:p>
        </w:tc>
        <w:tc>
          <w:tcPr>
            <w:tcW w:w="647" w:type="pct"/>
            <w:vMerge w:val="restart"/>
            <w:tcBorders>
              <w:top w:val="nil"/>
              <w:left w:val="nil"/>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163</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101</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6</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270</w:t>
            </w:r>
          </w:p>
        </w:tc>
      </w:tr>
      <w:tr w:rsidR="00D42A0E" w:rsidRPr="009C5CE4" w:rsidTr="00C64A59">
        <w:trPr>
          <w:trHeight w:val="495"/>
        </w:trPr>
        <w:tc>
          <w:tcPr>
            <w:tcW w:w="2671" w:type="pct"/>
            <w:tcBorders>
              <w:top w:val="nil"/>
              <w:left w:val="single" w:sz="8" w:space="0" w:color="auto"/>
              <w:bottom w:val="single" w:sz="4" w:space="0" w:color="auto"/>
              <w:right w:val="single" w:sz="8" w:space="0" w:color="auto"/>
            </w:tcBorders>
            <w:shd w:val="clear" w:color="auto" w:fill="auto"/>
            <w:vAlign w:val="center"/>
            <w:hideMark/>
          </w:tcPr>
          <w:p w:rsidR="00D42A0E" w:rsidRPr="009C5CE4" w:rsidRDefault="00D42A0E" w:rsidP="00C64A59">
            <w:r w:rsidRPr="009C5CE4">
              <w:t>προς την κατεύθυνση της αναγνώρισης ότι η επίταξη υπηρεσιών απαγορεύεται ως μέτρο αντιμετώπισης των συνεπειών απεργίας.</w:t>
            </w:r>
          </w:p>
          <w:p w:rsidR="00D42A0E" w:rsidRPr="009C5CE4" w:rsidRDefault="00D42A0E" w:rsidP="00C64A59"/>
          <w:p w:rsidR="00D42A0E" w:rsidRPr="009C5CE4" w:rsidRDefault="00D42A0E" w:rsidP="00C64A59"/>
        </w:tc>
        <w:tc>
          <w:tcPr>
            <w:tcW w:w="647" w:type="pct"/>
            <w:vMerge/>
            <w:tcBorders>
              <w:top w:val="nil"/>
              <w:left w:val="nil"/>
              <w:bottom w:val="single" w:sz="4" w:space="0" w:color="auto"/>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4" w:space="0" w:color="auto"/>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4" w:space="0" w:color="auto"/>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4" w:space="0" w:color="auto"/>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single" w:sz="4" w:space="0" w:color="auto"/>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22 παρ. 5</w:t>
            </w:r>
          </w:p>
        </w:tc>
        <w:tc>
          <w:tcPr>
            <w:tcW w:w="647" w:type="pct"/>
            <w:vMerge w:val="restart"/>
            <w:tcBorders>
              <w:top w:val="single" w:sz="4" w:space="0" w:color="auto"/>
              <w:left w:val="nil"/>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155</w:t>
            </w:r>
          </w:p>
        </w:tc>
        <w:tc>
          <w:tcPr>
            <w:tcW w:w="58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112</w:t>
            </w:r>
          </w:p>
        </w:tc>
        <w:tc>
          <w:tcPr>
            <w:tcW w:w="583"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4</w:t>
            </w:r>
          </w:p>
        </w:tc>
        <w:tc>
          <w:tcPr>
            <w:tcW w:w="51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271</w:t>
            </w:r>
          </w:p>
        </w:tc>
      </w:tr>
      <w:tr w:rsidR="00D42A0E" w:rsidRPr="009C5CE4" w:rsidTr="00C64A59">
        <w:trPr>
          <w:trHeight w:val="1215"/>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r w:rsidRPr="009C5CE4">
              <w:t>προς την κατεύθυνση αναγνώρισης του δικαιώματος στην κοινωνική ασφάλιση υπό την έννοια ότι το κράτος υποχρεώνεται να εξασφαλίζει αποτελεσματική προστασία έναντι όλων των ασφαλιστικών κινδύνων μέσω ενός ενιαίου συστήματος καθολικής κάλυψης, στο πλαίσιο δημόσιου αναδιανεμητικού συστήματος, που λειτουργεί βάσει των αρχών της αλληλεγγύης και της ανταποδοτικότητας.</w:t>
            </w:r>
          </w:p>
        </w:tc>
        <w:tc>
          <w:tcPr>
            <w:tcW w:w="647" w:type="pct"/>
            <w:vMerge/>
            <w:tcBorders>
              <w:top w:val="single" w:sz="8" w:space="0" w:color="auto"/>
              <w:left w:val="nil"/>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single" w:sz="8" w:space="0" w:color="auto"/>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single" w:sz="8" w:space="0" w:color="auto"/>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single" w:sz="8" w:space="0" w:color="auto"/>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single" w:sz="8" w:space="0" w:color="auto"/>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lastRenderedPageBreak/>
              <w:t>Άρθρο 28 παρ. 2</w:t>
            </w:r>
          </w:p>
        </w:tc>
        <w:tc>
          <w:tcPr>
            <w:tcW w:w="647" w:type="pct"/>
            <w:vMerge w:val="restart"/>
            <w:tcBorders>
              <w:top w:val="nil"/>
              <w:left w:val="nil"/>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154</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117</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272</w:t>
            </w:r>
          </w:p>
        </w:tc>
      </w:tr>
      <w:tr w:rsidR="00D42A0E" w:rsidRPr="009C5CE4" w:rsidTr="00C64A59">
        <w:trPr>
          <w:trHeight w:val="49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C5CE4" w:rsidRDefault="00D42A0E" w:rsidP="00C64A59">
            <w:r w:rsidRPr="009C5CE4">
              <w:t>προς την κατεύθυνση της υποχρέωσης κύρωσης με δημοψήφισμα διεθνών συνθηκών που προβλέπουν μεταβίβαση κυριαρχικών αρμοδιοτήτων του κράτους.</w:t>
            </w:r>
          </w:p>
        </w:tc>
        <w:tc>
          <w:tcPr>
            <w:tcW w:w="647" w:type="pct"/>
            <w:vMerge/>
            <w:tcBorders>
              <w:top w:val="nil"/>
              <w:left w:val="nil"/>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32 παρ. 4</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221</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46</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3</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270</w:t>
            </w:r>
          </w:p>
        </w:tc>
      </w:tr>
      <w:tr w:rsidR="00D42A0E" w:rsidRPr="009C5CE4" w:rsidTr="00C64A59">
        <w:trPr>
          <w:trHeight w:val="97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C5CE4" w:rsidRDefault="00D42A0E" w:rsidP="00C64A59">
            <w:r w:rsidRPr="009C5CE4">
              <w:t>προς την κατεύθυνση αποσύνδεσης της εκλογής Προέδρου της Δημοκρατίας από τη διάλυση της Βουλής και σε περίπτωση αδυναμίας κοινοβουλευτικής εκλογής άμεση εκλογή, εφόσον έχουν προηγηθεί διαδοχικές ψηφοφορίες εντός εξαμήνου από την έναρξη της κοινοβουλευτικής διαδικασίας.</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32 παρ. 5</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220</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47</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3</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270</w:t>
            </w:r>
          </w:p>
        </w:tc>
      </w:tr>
      <w:tr w:rsidR="00D42A0E" w:rsidRPr="009C5CE4" w:rsidTr="00C64A59">
        <w:trPr>
          <w:trHeight w:val="97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C5CE4" w:rsidRDefault="00D42A0E" w:rsidP="00C64A59">
            <w:r w:rsidRPr="009C5CE4">
              <w:t>προς την κατεύθυνση αποσύνδεσης της εκλογής Προέδρου της Δημοκρατίας από τη διάλυση της Βουλής και σε περίπτωση αδυναμίας κοινοβουλευτικής εκλογής άμεση εκλογή, εφόσον έχουν προηγηθεί διαδοχικές ψηφοφορίες εντός εξαμήνου από την έναρξη της κοινοβουλευτικής διαδικασίας.</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33 παρ. 2</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168</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98</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5</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271</w:t>
            </w:r>
          </w:p>
        </w:tc>
      </w:tr>
      <w:tr w:rsidR="00D42A0E" w:rsidRPr="009C5CE4" w:rsidTr="00C64A59">
        <w:trPr>
          <w:trHeight w:val="31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C5CE4" w:rsidRDefault="00D42A0E" w:rsidP="00C64A59">
            <w:r w:rsidRPr="009C5CE4">
              <w:t>προς την κατεύθυνση κατοχύρωσης του πολιτικού όρκου.</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single" w:sz="8" w:space="0" w:color="auto"/>
              <w:left w:val="single" w:sz="8" w:space="0" w:color="auto"/>
              <w:bottom w:val="nil"/>
              <w:right w:val="single" w:sz="8" w:space="0" w:color="auto"/>
            </w:tcBorders>
            <w:shd w:val="clear" w:color="auto" w:fill="auto"/>
            <w:vAlign w:val="center"/>
          </w:tcPr>
          <w:p w:rsidR="00D42A0E" w:rsidRPr="009C5CE4" w:rsidRDefault="00D42A0E" w:rsidP="00C64A59">
            <w:pPr>
              <w:rPr>
                <w:b/>
                <w:bCs/>
              </w:rPr>
            </w:pPr>
          </w:p>
        </w:tc>
        <w:tc>
          <w:tcPr>
            <w:tcW w:w="647" w:type="pct"/>
            <w:tcBorders>
              <w:top w:val="nil"/>
              <w:left w:val="single" w:sz="8" w:space="0" w:color="auto"/>
              <w:bottom w:val="single" w:sz="8" w:space="0" w:color="000000"/>
              <w:right w:val="single" w:sz="8" w:space="0" w:color="auto"/>
            </w:tcBorders>
            <w:shd w:val="clear" w:color="auto" w:fill="auto"/>
            <w:vAlign w:val="center"/>
          </w:tcPr>
          <w:p w:rsidR="00D42A0E" w:rsidRPr="009C5CE4" w:rsidRDefault="00D42A0E" w:rsidP="00C64A59">
            <w:pPr>
              <w:rPr>
                <w:b/>
                <w:bCs/>
              </w:rPr>
            </w:pPr>
          </w:p>
        </w:tc>
        <w:tc>
          <w:tcPr>
            <w:tcW w:w="582" w:type="pct"/>
            <w:tcBorders>
              <w:top w:val="nil"/>
              <w:left w:val="single" w:sz="8" w:space="0" w:color="auto"/>
              <w:bottom w:val="single" w:sz="8" w:space="0" w:color="000000"/>
              <w:right w:val="single" w:sz="8" w:space="0" w:color="auto"/>
            </w:tcBorders>
            <w:shd w:val="clear" w:color="auto" w:fill="auto"/>
            <w:vAlign w:val="center"/>
          </w:tcPr>
          <w:p w:rsidR="00D42A0E" w:rsidRPr="009C5CE4" w:rsidRDefault="00D42A0E" w:rsidP="00C64A59">
            <w:pPr>
              <w:rPr>
                <w:b/>
                <w:bCs/>
              </w:rPr>
            </w:pPr>
          </w:p>
        </w:tc>
        <w:tc>
          <w:tcPr>
            <w:tcW w:w="583" w:type="pct"/>
            <w:tcBorders>
              <w:top w:val="nil"/>
              <w:left w:val="single" w:sz="8" w:space="0" w:color="auto"/>
              <w:bottom w:val="single" w:sz="8" w:space="0" w:color="000000"/>
              <w:right w:val="single" w:sz="8" w:space="0" w:color="auto"/>
            </w:tcBorders>
            <w:shd w:val="clear" w:color="auto" w:fill="auto"/>
            <w:vAlign w:val="center"/>
          </w:tcPr>
          <w:p w:rsidR="00D42A0E" w:rsidRPr="009C5CE4" w:rsidRDefault="00D42A0E" w:rsidP="00C64A59">
            <w:pPr>
              <w:rPr>
                <w:b/>
                <w:bCs/>
              </w:rPr>
            </w:pPr>
          </w:p>
        </w:tc>
        <w:tc>
          <w:tcPr>
            <w:tcW w:w="517" w:type="pct"/>
            <w:tcBorders>
              <w:top w:val="nil"/>
              <w:left w:val="single" w:sz="8" w:space="0" w:color="auto"/>
              <w:bottom w:val="single" w:sz="8" w:space="0" w:color="000000"/>
              <w:right w:val="single" w:sz="8" w:space="0" w:color="auto"/>
            </w:tcBorders>
            <w:shd w:val="clear" w:color="auto" w:fill="auto"/>
            <w:vAlign w:val="center"/>
          </w:tcPr>
          <w:p w:rsidR="00D42A0E" w:rsidRPr="009C5CE4" w:rsidRDefault="00D42A0E" w:rsidP="00C64A59">
            <w:pPr>
              <w:rPr>
                <w:b/>
                <w:bCs/>
              </w:rPr>
            </w:pP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37 παρ. 2</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153</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101</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16</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270</w:t>
            </w:r>
          </w:p>
        </w:tc>
      </w:tr>
      <w:tr w:rsidR="00D42A0E" w:rsidRPr="009C5CE4" w:rsidTr="00C64A59">
        <w:trPr>
          <w:trHeight w:val="49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C5CE4" w:rsidRDefault="00D42A0E" w:rsidP="00C64A59">
            <w:r w:rsidRPr="009C5CE4">
              <w:t>προς την κατεύθυνση καθιέρωσης υποχρεωτικής βουλευτικής ιδιότητας για τον Πρωθυπουργό.</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38 παρ. 1</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155</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115</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0</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270</w:t>
            </w:r>
          </w:p>
        </w:tc>
      </w:tr>
      <w:tr w:rsidR="00D42A0E" w:rsidRPr="009C5CE4" w:rsidTr="00C64A59">
        <w:trPr>
          <w:trHeight w:val="31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C5CE4" w:rsidRDefault="00D42A0E" w:rsidP="00C64A59">
            <w:r w:rsidRPr="009C5CE4">
              <w:t>προς την κατεύθυνση καθιέρωσης της εποικοδομητικής ψήφου δυσπιστίας.</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single" w:sz="8" w:space="0" w:color="auto"/>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44 παρ. 2</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152</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102</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15</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269</w:t>
            </w:r>
          </w:p>
        </w:tc>
      </w:tr>
      <w:tr w:rsidR="00D42A0E" w:rsidRPr="009C5CE4" w:rsidTr="00C64A59">
        <w:trPr>
          <w:trHeight w:val="31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C5CE4" w:rsidRDefault="00D42A0E" w:rsidP="00C64A59">
            <w:r w:rsidRPr="009C5CE4">
              <w:t>προς την κατεύθυνση καθιέρωσης δημοψηφισμάτων με λαϊκή πρωτοβουλία.</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lastRenderedPageBreak/>
              <w:t>Άρθρο 54 παρ. 1</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155</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100</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15</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270</w:t>
            </w:r>
          </w:p>
        </w:tc>
      </w:tr>
      <w:tr w:rsidR="00D42A0E" w:rsidRPr="009C5CE4" w:rsidTr="00C64A59">
        <w:trPr>
          <w:trHeight w:val="31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C5CE4" w:rsidRDefault="00D42A0E" w:rsidP="00C64A59">
            <w:r w:rsidRPr="009C5CE4">
              <w:t xml:space="preserve">προς την κατεύθυνση καθιέρωσης αναλογικού εκλογικού συστήματος. </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nil"/>
              <w:left w:val="single" w:sz="8" w:space="0" w:color="auto"/>
              <w:bottom w:val="nil"/>
              <w:right w:val="nil"/>
            </w:tcBorders>
            <w:shd w:val="clear" w:color="auto" w:fill="auto"/>
            <w:vAlign w:val="center"/>
            <w:hideMark/>
          </w:tcPr>
          <w:p w:rsidR="00D42A0E" w:rsidRPr="009C5CE4" w:rsidRDefault="00D42A0E" w:rsidP="00C64A59">
            <w:pPr>
              <w:rPr>
                <w:b/>
                <w:bCs/>
              </w:rPr>
            </w:pPr>
            <w:r w:rsidRPr="009C5CE4">
              <w:rPr>
                <w:b/>
                <w:bCs/>
              </w:rPr>
              <w:t>Άρθρο 54 παρ. 4</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158</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97</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16</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271</w:t>
            </w:r>
          </w:p>
        </w:tc>
      </w:tr>
      <w:tr w:rsidR="00D42A0E" w:rsidRPr="009C5CE4" w:rsidTr="00C64A59">
        <w:trPr>
          <w:trHeight w:val="495"/>
        </w:trPr>
        <w:tc>
          <w:tcPr>
            <w:tcW w:w="2671" w:type="pct"/>
            <w:tcBorders>
              <w:top w:val="nil"/>
              <w:left w:val="single" w:sz="8" w:space="0" w:color="auto"/>
              <w:bottom w:val="single" w:sz="4" w:space="0" w:color="auto"/>
              <w:right w:val="nil"/>
            </w:tcBorders>
            <w:shd w:val="clear" w:color="auto" w:fill="auto"/>
            <w:vAlign w:val="center"/>
            <w:hideMark/>
          </w:tcPr>
          <w:p w:rsidR="00D42A0E" w:rsidRPr="009C5CE4" w:rsidRDefault="00D42A0E" w:rsidP="00C64A59">
            <w:r w:rsidRPr="009C5CE4">
              <w:t>προς την κατεύθυνση της δυνατότητας ορισμού από ενιαίο ψηφοδέλτιο έως πέντε (5) βουλευτών απόδημου Ελληνισμού.</w:t>
            </w:r>
          </w:p>
        </w:tc>
        <w:tc>
          <w:tcPr>
            <w:tcW w:w="647" w:type="pct"/>
            <w:vMerge/>
            <w:tcBorders>
              <w:top w:val="nil"/>
              <w:left w:val="single" w:sz="8" w:space="0" w:color="auto"/>
              <w:bottom w:val="single" w:sz="4" w:space="0" w:color="auto"/>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4" w:space="0" w:color="auto"/>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4" w:space="0" w:color="auto"/>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4" w:space="0" w:color="auto"/>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single" w:sz="4" w:space="0" w:color="auto"/>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54</w:t>
            </w:r>
          </w:p>
        </w:tc>
        <w:tc>
          <w:tcPr>
            <w:tcW w:w="647" w:type="pct"/>
            <w:vMerge w:val="restart"/>
            <w:tcBorders>
              <w:top w:val="single" w:sz="4" w:space="0" w:color="auto"/>
              <w:left w:val="single" w:sz="8" w:space="0" w:color="auto"/>
              <w:bottom w:val="single" w:sz="8" w:space="0" w:color="000000"/>
              <w:right w:val="nil"/>
            </w:tcBorders>
            <w:shd w:val="clear" w:color="auto" w:fill="auto"/>
            <w:vAlign w:val="center"/>
            <w:hideMark/>
          </w:tcPr>
          <w:p w:rsidR="00D42A0E" w:rsidRPr="009C5CE4" w:rsidRDefault="00D42A0E" w:rsidP="00C64A59">
            <w:pPr>
              <w:rPr>
                <w:b/>
                <w:bCs/>
              </w:rPr>
            </w:pPr>
            <w:r w:rsidRPr="009C5CE4">
              <w:rPr>
                <w:b/>
                <w:bCs/>
              </w:rPr>
              <w:t>153</w:t>
            </w:r>
          </w:p>
        </w:tc>
        <w:tc>
          <w:tcPr>
            <w:tcW w:w="582" w:type="pct"/>
            <w:vMerge w:val="restart"/>
            <w:tcBorders>
              <w:top w:val="single" w:sz="4" w:space="0" w:color="auto"/>
              <w:left w:val="single" w:sz="8" w:space="0" w:color="auto"/>
              <w:bottom w:val="single" w:sz="8" w:space="0" w:color="000000"/>
              <w:right w:val="nil"/>
            </w:tcBorders>
            <w:shd w:val="clear" w:color="auto" w:fill="auto"/>
            <w:vAlign w:val="center"/>
            <w:hideMark/>
          </w:tcPr>
          <w:p w:rsidR="00D42A0E" w:rsidRPr="009C5CE4" w:rsidRDefault="00D42A0E" w:rsidP="00C64A59">
            <w:pPr>
              <w:rPr>
                <w:b/>
                <w:bCs/>
              </w:rPr>
            </w:pPr>
            <w:r w:rsidRPr="009C5CE4">
              <w:rPr>
                <w:b/>
                <w:bCs/>
              </w:rPr>
              <w:t>114</w:t>
            </w:r>
          </w:p>
        </w:tc>
        <w:tc>
          <w:tcPr>
            <w:tcW w:w="583"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w:t>
            </w:r>
          </w:p>
        </w:tc>
        <w:tc>
          <w:tcPr>
            <w:tcW w:w="51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269</w:t>
            </w: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(εισαγωγή ερμηνευτικής δήλωσης)</w:t>
            </w:r>
          </w:p>
        </w:tc>
        <w:tc>
          <w:tcPr>
            <w:tcW w:w="647" w:type="pct"/>
            <w:vMerge/>
            <w:tcBorders>
              <w:top w:val="nil"/>
              <w:left w:val="single" w:sz="8" w:space="0" w:color="auto"/>
              <w:bottom w:val="single" w:sz="8" w:space="0" w:color="000000"/>
              <w:right w:val="nil"/>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nil"/>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49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C5CE4" w:rsidRDefault="00D42A0E" w:rsidP="00C64A59">
            <w:r w:rsidRPr="009C5CE4">
              <w:t>προς την κατεύθυνση διευκρίνισης ότι πάγιο αναλογικό εκλογικό σύστημα είναι αυτό στο οποίο η αναλογία εδρών δεν αποκλίνει περισσότερο από 10% από την αναλογία ψήφων.</w:t>
            </w:r>
          </w:p>
        </w:tc>
        <w:tc>
          <w:tcPr>
            <w:tcW w:w="647" w:type="pct"/>
            <w:vMerge/>
            <w:tcBorders>
              <w:top w:val="nil"/>
              <w:left w:val="single" w:sz="8" w:space="0" w:color="auto"/>
              <w:bottom w:val="single" w:sz="8" w:space="0" w:color="000000"/>
              <w:right w:val="nil"/>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nil"/>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56</w:t>
            </w:r>
          </w:p>
        </w:tc>
        <w:tc>
          <w:tcPr>
            <w:tcW w:w="647" w:type="pct"/>
            <w:vMerge w:val="restart"/>
            <w:tcBorders>
              <w:top w:val="nil"/>
              <w:left w:val="single" w:sz="8" w:space="0" w:color="auto"/>
              <w:bottom w:val="single" w:sz="8" w:space="0" w:color="000000"/>
              <w:right w:val="nil"/>
            </w:tcBorders>
            <w:shd w:val="clear" w:color="auto" w:fill="auto"/>
            <w:vAlign w:val="center"/>
            <w:hideMark/>
          </w:tcPr>
          <w:p w:rsidR="00D42A0E" w:rsidRPr="009C5CE4" w:rsidRDefault="00D42A0E" w:rsidP="00C64A59">
            <w:pPr>
              <w:rPr>
                <w:b/>
                <w:bCs/>
              </w:rPr>
            </w:pPr>
            <w:r w:rsidRPr="009C5CE4">
              <w:rPr>
                <w:b/>
                <w:bCs/>
              </w:rPr>
              <w:t>158</w:t>
            </w:r>
          </w:p>
        </w:tc>
        <w:tc>
          <w:tcPr>
            <w:tcW w:w="582" w:type="pct"/>
            <w:vMerge w:val="restart"/>
            <w:tcBorders>
              <w:top w:val="nil"/>
              <w:left w:val="single" w:sz="8" w:space="0" w:color="auto"/>
              <w:bottom w:val="single" w:sz="8" w:space="0" w:color="000000"/>
              <w:right w:val="nil"/>
            </w:tcBorders>
            <w:shd w:val="clear" w:color="auto" w:fill="auto"/>
            <w:vAlign w:val="center"/>
            <w:hideMark/>
          </w:tcPr>
          <w:p w:rsidR="00D42A0E" w:rsidRPr="009C5CE4" w:rsidRDefault="00D42A0E" w:rsidP="00C64A59">
            <w:pPr>
              <w:rPr>
                <w:b/>
                <w:bCs/>
              </w:rPr>
            </w:pPr>
            <w:r w:rsidRPr="009C5CE4">
              <w:rPr>
                <w:b/>
                <w:bCs/>
              </w:rPr>
              <w:t>111</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271</w:t>
            </w: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(προσθήκη παραγράφου 5)</w:t>
            </w:r>
          </w:p>
        </w:tc>
        <w:tc>
          <w:tcPr>
            <w:tcW w:w="647" w:type="pct"/>
            <w:vMerge/>
            <w:tcBorders>
              <w:top w:val="nil"/>
              <w:left w:val="single" w:sz="8" w:space="0" w:color="auto"/>
              <w:bottom w:val="single" w:sz="8" w:space="0" w:color="000000"/>
              <w:right w:val="nil"/>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nil"/>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49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C5CE4" w:rsidRDefault="00D42A0E" w:rsidP="00C64A59">
            <w:r w:rsidRPr="009C5CE4">
              <w:t>προς την κατεύθυνση καθιέρωσης προσωρινού κωλύματος εκλογιμότητας μετά από τρεις (3) βουλευτικές περιόδους.</w:t>
            </w:r>
          </w:p>
        </w:tc>
        <w:tc>
          <w:tcPr>
            <w:tcW w:w="647" w:type="pct"/>
            <w:vMerge/>
            <w:tcBorders>
              <w:top w:val="nil"/>
              <w:left w:val="single" w:sz="8" w:space="0" w:color="auto"/>
              <w:bottom w:val="single" w:sz="8" w:space="0" w:color="000000"/>
              <w:right w:val="nil"/>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nil"/>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nil"/>
              <w:left w:val="single" w:sz="8" w:space="0" w:color="auto"/>
              <w:bottom w:val="nil"/>
              <w:right w:val="nil"/>
            </w:tcBorders>
            <w:shd w:val="clear" w:color="auto" w:fill="auto"/>
            <w:vAlign w:val="center"/>
            <w:hideMark/>
          </w:tcPr>
          <w:p w:rsidR="00D42A0E" w:rsidRPr="009C5CE4" w:rsidRDefault="00D42A0E" w:rsidP="00C64A59">
            <w:pPr>
              <w:rPr>
                <w:b/>
                <w:bCs/>
              </w:rPr>
            </w:pPr>
            <w:r w:rsidRPr="009C5CE4">
              <w:rPr>
                <w:b/>
                <w:bCs/>
              </w:rPr>
              <w:t>Άρθρο 59 παρ. 1</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167</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97</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4</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268</w:t>
            </w:r>
          </w:p>
        </w:tc>
      </w:tr>
      <w:tr w:rsidR="00D42A0E" w:rsidRPr="009C5CE4" w:rsidTr="00C64A59">
        <w:trPr>
          <w:trHeight w:val="315"/>
        </w:trPr>
        <w:tc>
          <w:tcPr>
            <w:tcW w:w="2671" w:type="pct"/>
            <w:tcBorders>
              <w:top w:val="nil"/>
              <w:left w:val="single" w:sz="8" w:space="0" w:color="auto"/>
              <w:bottom w:val="single" w:sz="8" w:space="0" w:color="auto"/>
              <w:right w:val="nil"/>
            </w:tcBorders>
            <w:shd w:val="clear" w:color="auto" w:fill="auto"/>
            <w:vAlign w:val="center"/>
            <w:hideMark/>
          </w:tcPr>
          <w:p w:rsidR="00D42A0E" w:rsidRPr="009C5CE4" w:rsidRDefault="00D42A0E" w:rsidP="00C64A59">
            <w:r w:rsidRPr="009C5CE4">
              <w:t xml:space="preserve">προς την κατεύθυνση κατοχύρωσης του πολιτικού όρκου. </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single" w:sz="8" w:space="0" w:color="auto"/>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59 παρ. 2</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168</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97</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4</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269</w:t>
            </w:r>
          </w:p>
        </w:tc>
      </w:tr>
      <w:tr w:rsidR="00D42A0E" w:rsidRPr="009C5CE4" w:rsidTr="00C64A59">
        <w:trPr>
          <w:trHeight w:val="31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C5CE4" w:rsidRDefault="00D42A0E" w:rsidP="00C64A59">
            <w:r w:rsidRPr="009C5CE4">
              <w:t xml:space="preserve">προς την κατεύθυνση κατοχύρωσης του πολιτικού όρκου. </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62</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237</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33</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271</w:t>
            </w:r>
          </w:p>
        </w:tc>
      </w:tr>
      <w:tr w:rsidR="00D42A0E" w:rsidRPr="009C5CE4" w:rsidTr="00C64A59">
        <w:trPr>
          <w:trHeight w:val="49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C5CE4" w:rsidRDefault="00D42A0E" w:rsidP="00C64A59">
            <w:r w:rsidRPr="009C5CE4">
              <w:t>προς την κατεύθυνση περιορισμού της βουλευτικής ασυλίας αποκλειστικά στα αδικήματα που σχετίζονται με τη βουλευτική ιδιότητα εντός ή εκτός Βουλής.</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73</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168</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97</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3</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268</w:t>
            </w:r>
          </w:p>
        </w:tc>
      </w:tr>
      <w:tr w:rsidR="00D42A0E" w:rsidRPr="009C5CE4" w:rsidTr="00C64A59">
        <w:trPr>
          <w:trHeight w:val="31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C5CE4" w:rsidRDefault="00D42A0E" w:rsidP="00C64A59">
            <w:r w:rsidRPr="009C5CE4">
              <w:t>προς την κατεύθυνση καθιέρωσης της λαϊκής νομοθετικής πρωτοβουλίας.</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lastRenderedPageBreak/>
              <w:t>Άρθρο 84 παρ. 2</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155</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115</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0</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270</w:t>
            </w:r>
          </w:p>
        </w:tc>
      </w:tr>
      <w:tr w:rsidR="00D42A0E" w:rsidRPr="009C5CE4" w:rsidTr="00C64A59">
        <w:trPr>
          <w:trHeight w:val="31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C5CE4" w:rsidRDefault="00D42A0E" w:rsidP="00C64A59">
            <w:r w:rsidRPr="009C5CE4">
              <w:t xml:space="preserve">προς την κατεύθυνση καθιέρωσης της εποικοδομητικής ψήφου δυσπιστίας. </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86 παρ. 3</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253</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17</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0</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270</w:t>
            </w:r>
          </w:p>
        </w:tc>
      </w:tr>
      <w:tr w:rsidR="00D42A0E" w:rsidRPr="009C5CE4" w:rsidTr="00C64A59">
        <w:trPr>
          <w:trHeight w:val="73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C5CE4" w:rsidRDefault="00D42A0E" w:rsidP="00C64A59">
            <w:r w:rsidRPr="009C5CE4">
              <w:t xml:space="preserve">προς την κατεύθυνση περιορισμού των προνομιακών ρυθμίσεων περί ποινικής ευθύνης Υπουργών, ιδίως μέσω της κατάργησης της αποσβεστικής προθεσμίας και της κατάργησης της δυνατότητας αναστολής της δίωξης, της προδικασίας ή της κύριας διαδικασίας. </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nil"/>
              <w:left w:val="single" w:sz="8" w:space="0" w:color="auto"/>
              <w:bottom w:val="nil"/>
              <w:right w:val="nil"/>
            </w:tcBorders>
            <w:shd w:val="clear" w:color="auto" w:fill="auto"/>
            <w:vAlign w:val="center"/>
            <w:hideMark/>
          </w:tcPr>
          <w:p w:rsidR="00D42A0E" w:rsidRPr="009C5CE4" w:rsidRDefault="00D42A0E" w:rsidP="00C64A59">
            <w:pPr>
              <w:rPr>
                <w:b/>
                <w:bCs/>
              </w:rPr>
            </w:pPr>
            <w:r w:rsidRPr="009C5CE4">
              <w:rPr>
                <w:b/>
                <w:bCs/>
              </w:rPr>
              <w:t>Άρθρο 86</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179</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92</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0</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271</w:t>
            </w:r>
          </w:p>
        </w:tc>
      </w:tr>
      <w:tr w:rsidR="00D42A0E" w:rsidRPr="009C5CE4" w:rsidTr="00C64A59">
        <w:trPr>
          <w:trHeight w:val="300"/>
        </w:trPr>
        <w:tc>
          <w:tcPr>
            <w:tcW w:w="2671" w:type="pct"/>
            <w:tcBorders>
              <w:top w:val="nil"/>
              <w:left w:val="single" w:sz="8" w:space="0" w:color="auto"/>
              <w:bottom w:val="nil"/>
              <w:right w:val="nil"/>
            </w:tcBorders>
            <w:shd w:val="clear" w:color="auto" w:fill="auto"/>
            <w:vAlign w:val="center"/>
            <w:hideMark/>
          </w:tcPr>
          <w:p w:rsidR="00D42A0E" w:rsidRPr="009C5CE4" w:rsidRDefault="00D42A0E" w:rsidP="00C64A59">
            <w:pPr>
              <w:rPr>
                <w:b/>
                <w:bCs/>
              </w:rPr>
            </w:pPr>
            <w:r w:rsidRPr="009C5CE4">
              <w:rPr>
                <w:b/>
                <w:bCs/>
              </w:rPr>
              <w:t>(εισαγωγή ερμηνευτικής δήλωσης)</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735"/>
        </w:trPr>
        <w:tc>
          <w:tcPr>
            <w:tcW w:w="2671" w:type="pct"/>
            <w:tcBorders>
              <w:top w:val="nil"/>
              <w:left w:val="single" w:sz="8" w:space="0" w:color="auto"/>
              <w:bottom w:val="nil"/>
              <w:right w:val="nil"/>
            </w:tcBorders>
            <w:shd w:val="clear" w:color="auto" w:fill="auto"/>
            <w:vAlign w:val="center"/>
            <w:hideMark/>
          </w:tcPr>
          <w:p w:rsidR="00D42A0E" w:rsidRPr="009C5CE4" w:rsidRDefault="00D42A0E" w:rsidP="00C64A59">
            <w:r w:rsidRPr="009C5CE4">
              <w:t>προς την κατεύθυνση διευκρίνισης ότι το πεδίο ισχύος του άρθρου αναφέρεται αποκλειστικά στα αδικήματα που τελέσθηκαν κατά την άσκηση και όχι επ’ ευκαιρία της άσκησης των υπουργικών καθηκόντων.</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single" w:sz="8" w:space="0" w:color="auto"/>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101Α</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231</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34</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6</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271</w:t>
            </w:r>
          </w:p>
        </w:tc>
      </w:tr>
      <w:tr w:rsidR="00D42A0E" w:rsidRPr="009C5CE4" w:rsidTr="00C64A59">
        <w:trPr>
          <w:trHeight w:val="73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C5CE4" w:rsidRDefault="00D42A0E" w:rsidP="00C64A59">
            <w:r w:rsidRPr="009C5CE4">
              <w:t>προς την κατεύθυνση περιορισμού της δυνατότητας ίδρυσης ανεξάρτητων αρχών, της διευκόλυνσης του τρόπου επιλογής των μελών τους και της ενίσχυσης του κοινοβουλευτικού ελέγχου τους.</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102 παρ. 2</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168</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101</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270</w:t>
            </w:r>
          </w:p>
        </w:tc>
      </w:tr>
      <w:tr w:rsidR="00D42A0E" w:rsidRPr="009C5CE4" w:rsidTr="00C64A59">
        <w:trPr>
          <w:trHeight w:val="97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C5CE4" w:rsidRDefault="00D42A0E" w:rsidP="00C64A59">
            <w:r w:rsidRPr="009C5CE4">
              <w:t>προς την κατεύθυνση καθιέρωσης αναλογικού εκλογικού συστήματος στις εκλογές για τους οργανισμούς τοπικής αυτοδιοίκησης και θέσπισης τοπικών λαϊκών συνελεύσεων, δημοψηφισμάτων και λαϊκών πρωτοβουλιών και αναγνώρισης δυνατότητας απονομής εκλογικού δικαιώματος σε αλλοδαπούς με μόνιμη εγκατάσταση στη χώρα.</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15"/>
        </w:trPr>
        <w:tc>
          <w:tcPr>
            <w:tcW w:w="4483" w:type="pct"/>
            <w:gridSpan w:val="4"/>
            <w:tcBorders>
              <w:top w:val="nil"/>
              <w:left w:val="nil"/>
              <w:bottom w:val="nil"/>
              <w:right w:val="nil"/>
            </w:tcBorders>
            <w:shd w:val="clear" w:color="auto" w:fill="auto"/>
            <w:vAlign w:val="bottom"/>
            <w:hideMark/>
          </w:tcPr>
          <w:p w:rsidR="00D42A0E" w:rsidRPr="00BC026F" w:rsidRDefault="00D42A0E" w:rsidP="00C64A59">
            <w:pPr>
              <w:rPr>
                <w:b/>
                <w:bCs/>
                <w:u w:val="single"/>
              </w:rPr>
            </w:pPr>
          </w:p>
          <w:p w:rsidR="00D42A0E" w:rsidRPr="00BC026F" w:rsidRDefault="00D42A0E" w:rsidP="00C64A59">
            <w:pPr>
              <w:rPr>
                <w:b/>
                <w:bCs/>
                <w:u w:val="single"/>
              </w:rPr>
            </w:pPr>
          </w:p>
          <w:p w:rsidR="00D42A0E" w:rsidRPr="009C5CE4" w:rsidRDefault="00D42A0E" w:rsidP="00C64A59">
            <w:pPr>
              <w:rPr>
                <w:b/>
                <w:bCs/>
                <w:u w:val="single"/>
              </w:rPr>
            </w:pPr>
            <w:r w:rsidRPr="009C5CE4">
              <w:rPr>
                <w:b/>
                <w:bCs/>
                <w:u w:val="single"/>
              </w:rPr>
              <w:t>Β ΄ ΠΡΟΤΑΣΕΙΣ ΤΗΣ Κ.Ο. ΤΗΣ ΝΕΑΣ ΔΗΜΟΚΡΑΤΙΑΣ</w:t>
            </w:r>
          </w:p>
        </w:tc>
        <w:tc>
          <w:tcPr>
            <w:tcW w:w="517" w:type="pct"/>
            <w:tcBorders>
              <w:top w:val="nil"/>
              <w:left w:val="nil"/>
              <w:bottom w:val="nil"/>
              <w:right w:val="nil"/>
            </w:tcBorders>
            <w:shd w:val="clear" w:color="auto" w:fill="auto"/>
            <w:vAlign w:val="center"/>
            <w:hideMark/>
          </w:tcPr>
          <w:p w:rsidR="00D42A0E" w:rsidRPr="009C5CE4" w:rsidRDefault="00D42A0E" w:rsidP="00C64A59">
            <w:pPr>
              <w:rPr>
                <w:b/>
                <w:bCs/>
                <w:u w:val="single"/>
              </w:rPr>
            </w:pPr>
          </w:p>
        </w:tc>
      </w:tr>
      <w:tr w:rsidR="00D42A0E" w:rsidRPr="009C5CE4" w:rsidTr="00C64A59">
        <w:trPr>
          <w:trHeight w:val="330"/>
        </w:trPr>
        <w:tc>
          <w:tcPr>
            <w:tcW w:w="4483" w:type="pct"/>
            <w:gridSpan w:val="4"/>
            <w:tcBorders>
              <w:top w:val="nil"/>
              <w:left w:val="nil"/>
              <w:bottom w:val="single" w:sz="8" w:space="0" w:color="auto"/>
              <w:right w:val="nil"/>
            </w:tcBorders>
            <w:shd w:val="clear" w:color="auto" w:fill="auto"/>
            <w:vAlign w:val="bottom"/>
            <w:hideMark/>
          </w:tcPr>
          <w:p w:rsidR="00D42A0E" w:rsidRPr="009C5CE4" w:rsidRDefault="00D42A0E" w:rsidP="00C64A59">
            <w:pPr>
              <w:rPr>
                <w:b/>
                <w:bCs/>
              </w:rPr>
            </w:pPr>
            <w:r w:rsidRPr="009C5CE4">
              <w:rPr>
                <w:b/>
                <w:bCs/>
              </w:rPr>
              <w:lastRenderedPageBreak/>
              <w:t> </w:t>
            </w:r>
          </w:p>
        </w:tc>
        <w:tc>
          <w:tcPr>
            <w:tcW w:w="517" w:type="pct"/>
            <w:tcBorders>
              <w:top w:val="nil"/>
              <w:left w:val="nil"/>
              <w:bottom w:val="nil"/>
              <w:right w:val="nil"/>
            </w:tcBorders>
            <w:shd w:val="clear" w:color="auto" w:fill="auto"/>
            <w:vAlign w:val="center"/>
            <w:hideMark/>
          </w:tcPr>
          <w:p w:rsidR="00D42A0E" w:rsidRPr="009C5CE4" w:rsidRDefault="00D42A0E" w:rsidP="00C64A59">
            <w:pPr>
              <w:rPr>
                <w:b/>
                <w:bCs/>
              </w:rPr>
            </w:pPr>
          </w:p>
        </w:tc>
      </w:tr>
      <w:tr w:rsidR="00D42A0E" w:rsidRPr="009C5CE4" w:rsidTr="00C64A59">
        <w:trPr>
          <w:trHeight w:val="315"/>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ΔΙΑΤΑΞΗ</w:t>
            </w:r>
          </w:p>
        </w:tc>
        <w:tc>
          <w:tcPr>
            <w:tcW w:w="647" w:type="pct"/>
            <w:tcBorders>
              <w:top w:val="nil"/>
              <w:left w:val="nil"/>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ΝΑΙ</w:t>
            </w:r>
          </w:p>
        </w:tc>
        <w:tc>
          <w:tcPr>
            <w:tcW w:w="582" w:type="pct"/>
            <w:tcBorders>
              <w:top w:val="nil"/>
              <w:left w:val="nil"/>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ΟΧΙ</w:t>
            </w:r>
          </w:p>
        </w:tc>
        <w:tc>
          <w:tcPr>
            <w:tcW w:w="583" w:type="pct"/>
            <w:tcBorders>
              <w:top w:val="nil"/>
              <w:left w:val="nil"/>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ΠΑΡΩΝ</w:t>
            </w:r>
          </w:p>
        </w:tc>
        <w:tc>
          <w:tcPr>
            <w:tcW w:w="517" w:type="pct"/>
            <w:tcBorders>
              <w:top w:val="single" w:sz="8" w:space="0" w:color="auto"/>
              <w:left w:val="nil"/>
              <w:bottom w:val="single" w:sz="8" w:space="0" w:color="auto"/>
              <w:right w:val="single" w:sz="8" w:space="0" w:color="auto"/>
            </w:tcBorders>
            <w:shd w:val="clear" w:color="auto" w:fill="auto"/>
            <w:vAlign w:val="center"/>
            <w:hideMark/>
          </w:tcPr>
          <w:p w:rsidR="00D42A0E" w:rsidRPr="009C5CE4" w:rsidRDefault="00D42A0E" w:rsidP="00C64A59">
            <w:pPr>
              <w:rPr>
                <w:b/>
                <w:bCs/>
              </w:rPr>
            </w:pPr>
            <w:r w:rsidRPr="009C5CE4">
              <w:rPr>
                <w:b/>
                <w:bCs/>
              </w:rPr>
              <w:t>ΣΥΝΟΛΟ</w:t>
            </w: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68 παρ. 2</w:t>
            </w:r>
          </w:p>
        </w:tc>
        <w:tc>
          <w:tcPr>
            <w:tcW w:w="647" w:type="pct"/>
            <w:vMerge w:val="restart"/>
            <w:tcBorders>
              <w:top w:val="nil"/>
              <w:left w:val="nil"/>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234</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34</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269</w:t>
            </w:r>
          </w:p>
        </w:tc>
      </w:tr>
      <w:tr w:rsidR="00D42A0E" w:rsidRPr="009C5CE4" w:rsidTr="00C64A59">
        <w:trPr>
          <w:trHeight w:val="31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C5CE4" w:rsidRDefault="00D42A0E" w:rsidP="00C64A59">
            <w:r w:rsidRPr="009C5CE4">
              <w:t>Δικαιώματα κοινοβουλευτικών μειοψηφιών</w:t>
            </w:r>
          </w:p>
        </w:tc>
        <w:tc>
          <w:tcPr>
            <w:tcW w:w="647" w:type="pct"/>
            <w:vMerge/>
            <w:tcBorders>
              <w:top w:val="nil"/>
              <w:left w:val="nil"/>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single" w:sz="8" w:space="0" w:color="auto"/>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112 παρ. 4</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222</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25</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21</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268</w:t>
            </w: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Pr>
                <w:b/>
                <w:bCs/>
              </w:rPr>
              <w:t>Κατάργηση</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1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C5CE4" w:rsidRDefault="00D42A0E" w:rsidP="00C64A59">
            <w:r w:rsidRPr="009C5CE4">
              <w:t>Κατάργηση μεταβατικής διάτ</w:t>
            </w:r>
            <w:r>
              <w:t>αξης</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113</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223</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24</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21</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268</w:t>
            </w: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(κατάργηση)</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1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C5CE4" w:rsidRDefault="00D42A0E" w:rsidP="00C64A59">
            <w:r>
              <w:t>Κατά</w:t>
            </w:r>
            <w:r w:rsidRPr="009C5CE4">
              <w:t>ργηση μεταβατικού άρθρου</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114 παρ. 1</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230</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18</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21</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269</w:t>
            </w:r>
          </w:p>
        </w:tc>
      </w:tr>
      <w:tr w:rsidR="00D42A0E" w:rsidRPr="009C5CE4" w:rsidTr="00C64A59">
        <w:trPr>
          <w:trHeight w:val="315"/>
        </w:trPr>
        <w:tc>
          <w:tcPr>
            <w:tcW w:w="2671" w:type="pct"/>
            <w:tcBorders>
              <w:top w:val="nil"/>
              <w:left w:val="single" w:sz="8" w:space="0" w:color="auto"/>
              <w:bottom w:val="nil"/>
              <w:right w:val="single" w:sz="8" w:space="0" w:color="auto"/>
            </w:tcBorders>
            <w:shd w:val="clear" w:color="auto" w:fill="auto"/>
            <w:vAlign w:val="center"/>
            <w:hideMark/>
          </w:tcPr>
          <w:p w:rsidR="00D42A0E" w:rsidRPr="00914C87" w:rsidRDefault="00D42A0E" w:rsidP="00C64A59">
            <w:pPr>
              <w:rPr>
                <w:b/>
              </w:rPr>
            </w:pPr>
            <w:r w:rsidRPr="00914C87">
              <w:rPr>
                <w:b/>
              </w:rPr>
              <w:t>Περί ισχύος άρθρων 30, 32 Συντάγματος</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single" w:sz="8" w:space="0" w:color="auto"/>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114 παρ. 2</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231</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20</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20</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271</w:t>
            </w: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(κατάργηση</w:t>
            </w:r>
            <w:r>
              <w:rPr>
                <w:b/>
                <w:bCs/>
              </w:rPr>
              <w:t>)</w:t>
            </w:r>
            <w:r w:rsidRPr="009C5CE4">
              <w:rPr>
                <w:b/>
                <w:bCs/>
              </w:rPr>
              <w:t xml:space="preserve"> </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1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C5CE4" w:rsidRDefault="00D42A0E" w:rsidP="00C64A59">
            <w:r w:rsidRPr="009C5CE4">
              <w:t>Κατάργηση μεταβατικής διάταξης</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115 παρ. 1</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231</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19</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21</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271</w:t>
            </w:r>
          </w:p>
        </w:tc>
      </w:tr>
      <w:tr w:rsidR="00D42A0E" w:rsidRPr="009C5CE4" w:rsidTr="00C64A59">
        <w:trPr>
          <w:trHeight w:val="31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C5CE4" w:rsidRDefault="00D42A0E" w:rsidP="00C64A59">
            <w:r w:rsidRPr="00560834">
              <w:rPr>
                <w:b/>
              </w:rPr>
              <w:t>Παραπομπή εκκρεμών δικαστικών υποθέσεων</w:t>
            </w:r>
            <w:r w:rsidRPr="009C5CE4">
              <w:t xml:space="preserve"> </w:t>
            </w:r>
            <w:r w:rsidRPr="00560834">
              <w:rPr>
                <w:b/>
              </w:rPr>
              <w:t>ενώπιον του Ε</w:t>
            </w:r>
            <w:r>
              <w:rPr>
                <w:b/>
              </w:rPr>
              <w:t>λεγκτικού Συνεδρίου</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115 παρ. 2</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230</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20</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21</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271</w:t>
            </w:r>
          </w:p>
        </w:tc>
      </w:tr>
      <w:tr w:rsidR="00D42A0E" w:rsidRPr="009C5CE4" w:rsidTr="00C64A59">
        <w:trPr>
          <w:trHeight w:val="31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14C87" w:rsidRDefault="00D42A0E" w:rsidP="00C64A59">
            <w:pPr>
              <w:rPr>
                <w:b/>
              </w:rPr>
            </w:pPr>
            <w:r w:rsidRPr="00914C87">
              <w:rPr>
                <w:b/>
              </w:rPr>
              <w:t>Σύνθεση Α</w:t>
            </w:r>
            <w:r>
              <w:rPr>
                <w:b/>
              </w:rPr>
              <w:t>νώτατου Ειδικού Δικαστηρίου</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115 παρ. 3</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230</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20</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21</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271</w:t>
            </w: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Pr>
                <w:b/>
                <w:bCs/>
              </w:rPr>
              <w:t xml:space="preserve">(κατάργηση </w:t>
            </w:r>
            <w:r w:rsidRPr="009C5CE4">
              <w:rPr>
                <w:b/>
                <w:bCs/>
              </w:rPr>
              <w:t>)</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15"/>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r w:rsidRPr="009C5CE4">
              <w:t>Κατάργηση μεταβατικής διάταξης</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single" w:sz="8" w:space="0" w:color="auto"/>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115 παρ. 4</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226</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25</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21</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272</w:t>
            </w: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(κατάργηση</w:t>
            </w:r>
            <w:r>
              <w:rPr>
                <w:b/>
                <w:bCs/>
              </w:rPr>
              <w:t>)</w:t>
            </w:r>
            <w:r w:rsidRPr="009C5CE4">
              <w:rPr>
                <w:b/>
                <w:bCs/>
              </w:rPr>
              <w:t xml:space="preserve"> </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1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C5CE4" w:rsidRDefault="00D42A0E" w:rsidP="00C64A59">
            <w:r w:rsidRPr="009C5CE4">
              <w:t>Κατάργηση μεταβατικής διάταξης</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lastRenderedPageBreak/>
              <w:t>Άρθρο 119 παρ. 1</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209</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37</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21</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267</w:t>
            </w: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(κατάργηση παραγράφου)</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1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C5CE4" w:rsidRDefault="00D42A0E" w:rsidP="00C64A59">
            <w:r w:rsidRPr="009C5CE4">
              <w:t>Κατάργηση μεταβατικής διάταξης</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15"/>
        </w:trPr>
        <w:tc>
          <w:tcPr>
            <w:tcW w:w="4483" w:type="pct"/>
            <w:gridSpan w:val="4"/>
            <w:tcBorders>
              <w:top w:val="nil"/>
              <w:left w:val="nil"/>
              <w:bottom w:val="nil"/>
              <w:right w:val="nil"/>
            </w:tcBorders>
            <w:shd w:val="clear" w:color="auto" w:fill="auto"/>
            <w:hideMark/>
          </w:tcPr>
          <w:p w:rsidR="00D42A0E" w:rsidRDefault="00D42A0E" w:rsidP="00C64A59">
            <w:pPr>
              <w:rPr>
                <w:b/>
                <w:bCs/>
                <w:u w:val="single"/>
                <w:lang w:val="en-US"/>
              </w:rPr>
            </w:pPr>
          </w:p>
          <w:p w:rsidR="00D42A0E" w:rsidRDefault="00D42A0E" w:rsidP="00C64A59">
            <w:pPr>
              <w:rPr>
                <w:b/>
                <w:bCs/>
                <w:u w:val="single"/>
                <w:lang w:val="en-US"/>
              </w:rPr>
            </w:pPr>
          </w:p>
          <w:p w:rsidR="00D42A0E" w:rsidRPr="009C5CE4" w:rsidRDefault="00D42A0E" w:rsidP="00C64A59">
            <w:pPr>
              <w:rPr>
                <w:b/>
                <w:bCs/>
                <w:u w:val="single"/>
              </w:rPr>
            </w:pPr>
            <w:r w:rsidRPr="009C5CE4">
              <w:rPr>
                <w:b/>
                <w:bCs/>
                <w:u w:val="single"/>
              </w:rPr>
              <w:t>Γ ΄ ΣΥΜΠΛΗΡΩΜΑΤΙΚΕΣ ΠΡΟΤΑΣΕΙΣ</w:t>
            </w:r>
          </w:p>
        </w:tc>
        <w:tc>
          <w:tcPr>
            <w:tcW w:w="517" w:type="pct"/>
            <w:tcBorders>
              <w:top w:val="nil"/>
              <w:left w:val="nil"/>
              <w:bottom w:val="nil"/>
              <w:right w:val="nil"/>
            </w:tcBorders>
            <w:shd w:val="clear" w:color="auto" w:fill="auto"/>
            <w:vAlign w:val="center"/>
            <w:hideMark/>
          </w:tcPr>
          <w:p w:rsidR="00D42A0E" w:rsidRPr="009C5CE4" w:rsidRDefault="00D42A0E" w:rsidP="00C64A59">
            <w:pPr>
              <w:rPr>
                <w:b/>
                <w:bCs/>
                <w:u w:val="single"/>
              </w:rPr>
            </w:pPr>
          </w:p>
        </w:tc>
      </w:tr>
      <w:tr w:rsidR="00D42A0E" w:rsidRPr="009C5CE4" w:rsidTr="00C64A59">
        <w:trPr>
          <w:trHeight w:val="330"/>
        </w:trPr>
        <w:tc>
          <w:tcPr>
            <w:tcW w:w="4483" w:type="pct"/>
            <w:gridSpan w:val="4"/>
            <w:tcBorders>
              <w:top w:val="nil"/>
              <w:left w:val="nil"/>
              <w:bottom w:val="single" w:sz="8" w:space="0" w:color="auto"/>
              <w:right w:val="nil"/>
            </w:tcBorders>
            <w:shd w:val="clear" w:color="auto" w:fill="auto"/>
            <w:hideMark/>
          </w:tcPr>
          <w:p w:rsidR="00D42A0E" w:rsidRPr="009C5CE4" w:rsidRDefault="00D42A0E" w:rsidP="00C64A59">
            <w:pPr>
              <w:rPr>
                <w:b/>
                <w:bCs/>
                <w:u w:val="single"/>
              </w:rPr>
            </w:pPr>
            <w:r w:rsidRPr="009C5CE4">
              <w:rPr>
                <w:b/>
                <w:bCs/>
                <w:u w:val="single"/>
              </w:rPr>
              <w:t> </w:t>
            </w:r>
          </w:p>
        </w:tc>
        <w:tc>
          <w:tcPr>
            <w:tcW w:w="517" w:type="pct"/>
            <w:tcBorders>
              <w:top w:val="nil"/>
              <w:left w:val="nil"/>
              <w:bottom w:val="nil"/>
              <w:right w:val="nil"/>
            </w:tcBorders>
            <w:shd w:val="clear" w:color="auto" w:fill="auto"/>
            <w:vAlign w:val="center"/>
            <w:hideMark/>
          </w:tcPr>
          <w:p w:rsidR="00D42A0E" w:rsidRPr="009C5CE4" w:rsidRDefault="00D42A0E" w:rsidP="00C64A59">
            <w:pPr>
              <w:rPr>
                <w:b/>
                <w:bCs/>
                <w:u w:val="single"/>
              </w:rPr>
            </w:pPr>
          </w:p>
        </w:tc>
      </w:tr>
      <w:tr w:rsidR="00D42A0E" w:rsidRPr="009C5CE4" w:rsidTr="00C64A59">
        <w:trPr>
          <w:trHeight w:val="31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C5CE4" w:rsidRDefault="00D42A0E" w:rsidP="00C64A59">
            <w:pPr>
              <w:rPr>
                <w:b/>
                <w:bCs/>
              </w:rPr>
            </w:pPr>
            <w:r w:rsidRPr="009C5CE4">
              <w:rPr>
                <w:b/>
                <w:bCs/>
              </w:rPr>
              <w:t>ΔΙΑΤΑΞΗ</w:t>
            </w:r>
          </w:p>
        </w:tc>
        <w:tc>
          <w:tcPr>
            <w:tcW w:w="647" w:type="pct"/>
            <w:tcBorders>
              <w:top w:val="nil"/>
              <w:left w:val="nil"/>
              <w:bottom w:val="single" w:sz="8" w:space="0" w:color="auto"/>
              <w:right w:val="single" w:sz="8" w:space="0" w:color="auto"/>
            </w:tcBorders>
            <w:shd w:val="clear" w:color="auto" w:fill="auto"/>
            <w:vAlign w:val="center"/>
            <w:hideMark/>
          </w:tcPr>
          <w:p w:rsidR="00D42A0E" w:rsidRPr="009C5CE4" w:rsidRDefault="00D42A0E" w:rsidP="00C64A59">
            <w:pPr>
              <w:rPr>
                <w:b/>
                <w:bCs/>
              </w:rPr>
            </w:pPr>
            <w:r w:rsidRPr="009C5CE4">
              <w:rPr>
                <w:b/>
                <w:bCs/>
              </w:rPr>
              <w:t>ΝΑΙ</w:t>
            </w:r>
          </w:p>
        </w:tc>
        <w:tc>
          <w:tcPr>
            <w:tcW w:w="582" w:type="pct"/>
            <w:tcBorders>
              <w:top w:val="nil"/>
              <w:left w:val="nil"/>
              <w:bottom w:val="single" w:sz="8" w:space="0" w:color="auto"/>
              <w:right w:val="single" w:sz="8" w:space="0" w:color="auto"/>
            </w:tcBorders>
            <w:shd w:val="clear" w:color="auto" w:fill="auto"/>
            <w:vAlign w:val="center"/>
            <w:hideMark/>
          </w:tcPr>
          <w:p w:rsidR="00D42A0E" w:rsidRPr="009C5CE4" w:rsidRDefault="00D42A0E" w:rsidP="00C64A59">
            <w:pPr>
              <w:rPr>
                <w:b/>
                <w:bCs/>
              </w:rPr>
            </w:pPr>
            <w:r w:rsidRPr="009C5CE4">
              <w:rPr>
                <w:b/>
                <w:bCs/>
              </w:rPr>
              <w:t>ΟΧΙ</w:t>
            </w:r>
          </w:p>
        </w:tc>
        <w:tc>
          <w:tcPr>
            <w:tcW w:w="583" w:type="pct"/>
            <w:tcBorders>
              <w:top w:val="nil"/>
              <w:left w:val="nil"/>
              <w:bottom w:val="single" w:sz="8" w:space="0" w:color="auto"/>
              <w:right w:val="single" w:sz="8" w:space="0" w:color="auto"/>
            </w:tcBorders>
            <w:shd w:val="clear" w:color="auto" w:fill="auto"/>
            <w:vAlign w:val="center"/>
            <w:hideMark/>
          </w:tcPr>
          <w:p w:rsidR="00D42A0E" w:rsidRPr="009C5CE4" w:rsidRDefault="00D42A0E" w:rsidP="00C64A59">
            <w:pPr>
              <w:rPr>
                <w:b/>
                <w:bCs/>
              </w:rPr>
            </w:pPr>
            <w:r w:rsidRPr="009C5CE4">
              <w:rPr>
                <w:b/>
                <w:bCs/>
              </w:rPr>
              <w:t>ΠΑΡΩΝ</w:t>
            </w:r>
          </w:p>
        </w:tc>
        <w:tc>
          <w:tcPr>
            <w:tcW w:w="517" w:type="pct"/>
            <w:tcBorders>
              <w:top w:val="single" w:sz="8" w:space="0" w:color="auto"/>
              <w:left w:val="nil"/>
              <w:bottom w:val="single" w:sz="8" w:space="0" w:color="auto"/>
              <w:right w:val="single" w:sz="8" w:space="0" w:color="auto"/>
            </w:tcBorders>
            <w:shd w:val="clear" w:color="auto" w:fill="auto"/>
            <w:vAlign w:val="center"/>
            <w:hideMark/>
          </w:tcPr>
          <w:p w:rsidR="00D42A0E" w:rsidRPr="009C5CE4" w:rsidRDefault="00D42A0E" w:rsidP="00C64A59">
            <w:pPr>
              <w:rPr>
                <w:b/>
                <w:bCs/>
              </w:rPr>
            </w:pPr>
            <w:r w:rsidRPr="009C5CE4">
              <w:rPr>
                <w:b/>
                <w:bCs/>
              </w:rPr>
              <w:t>ΣΥΝΟΛΟ</w:t>
            </w:r>
          </w:p>
        </w:tc>
      </w:tr>
      <w:tr w:rsidR="00D42A0E" w:rsidRPr="009C5CE4" w:rsidTr="00C64A59">
        <w:trPr>
          <w:trHeight w:val="300"/>
        </w:trPr>
        <w:tc>
          <w:tcPr>
            <w:tcW w:w="2671" w:type="pct"/>
            <w:tcBorders>
              <w:top w:val="nil"/>
              <w:left w:val="single" w:sz="8" w:space="0" w:color="auto"/>
              <w:bottom w:val="nil"/>
              <w:right w:val="nil"/>
            </w:tcBorders>
            <w:shd w:val="clear" w:color="auto" w:fill="auto"/>
            <w:vAlign w:val="center"/>
            <w:hideMark/>
          </w:tcPr>
          <w:p w:rsidR="00D42A0E" w:rsidRPr="009C5CE4" w:rsidRDefault="00D42A0E" w:rsidP="00C64A59">
            <w:pPr>
              <w:rPr>
                <w:b/>
                <w:bCs/>
              </w:rPr>
            </w:pPr>
            <w:r w:rsidRPr="009C5CE4">
              <w:rPr>
                <w:b/>
                <w:bCs/>
              </w:rPr>
              <w:t>Άρθρο 5 παρ. 2</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170</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99</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0</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269</w:t>
            </w:r>
          </w:p>
        </w:tc>
      </w:tr>
      <w:tr w:rsidR="00D42A0E" w:rsidRPr="009C5CE4" w:rsidTr="00C64A59">
        <w:trPr>
          <w:trHeight w:val="735"/>
        </w:trPr>
        <w:tc>
          <w:tcPr>
            <w:tcW w:w="2671" w:type="pct"/>
            <w:tcBorders>
              <w:top w:val="nil"/>
              <w:left w:val="single" w:sz="8" w:space="0" w:color="auto"/>
              <w:bottom w:val="single" w:sz="8" w:space="0" w:color="auto"/>
              <w:right w:val="nil"/>
            </w:tcBorders>
            <w:shd w:val="clear" w:color="auto" w:fill="auto"/>
            <w:vAlign w:val="center"/>
            <w:hideMark/>
          </w:tcPr>
          <w:p w:rsidR="00D42A0E" w:rsidRPr="009C5CE4" w:rsidRDefault="00D42A0E" w:rsidP="00C64A59">
            <w:r w:rsidRPr="009C5CE4">
              <w:t>Συμπληρωματική πρόταση βουλευτών ΣΥΡΙΖΑ προς την κατεύθυνση κατοχύρωσης της απόλυτης προστασίας, ζωής, τιμής και ελευθερίας χωρίς διάκριση φύλου, ταυτότητας φύλου και σεξουαλικού προσανατολισμού.</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single" w:sz="8" w:space="0" w:color="auto"/>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25 παρ. 3</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169</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95</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4</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268</w:t>
            </w:r>
          </w:p>
        </w:tc>
      </w:tr>
      <w:tr w:rsidR="00D42A0E" w:rsidRPr="009C5CE4" w:rsidTr="00C64A59">
        <w:trPr>
          <w:trHeight w:val="73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C5CE4" w:rsidRDefault="00D42A0E" w:rsidP="00C64A59">
            <w:r w:rsidRPr="009C5CE4">
              <w:t>Συμπληρωματική πρόταση βουλευτών ΣΥΡΙΖΑ - ΑΝΕΛ προς την κατεύθυνση εισαγωγής της αρχής της επιείκειας στο πεδίο των θεμελιωδών δικαιωμάτων και κατάργηση της ισχύουσας διάταξης περί καταχρηστικής άσκησης δικαιώματος.</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38 παρ. 2</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156</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98</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16</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270</w:t>
            </w:r>
          </w:p>
        </w:tc>
      </w:tr>
      <w:tr w:rsidR="00D42A0E" w:rsidRPr="009C5CE4" w:rsidTr="00C64A59">
        <w:trPr>
          <w:trHeight w:val="1215"/>
        </w:trPr>
        <w:tc>
          <w:tcPr>
            <w:tcW w:w="2671" w:type="pct"/>
            <w:tcBorders>
              <w:top w:val="nil"/>
              <w:left w:val="single" w:sz="8" w:space="0" w:color="auto"/>
              <w:bottom w:val="nil"/>
              <w:right w:val="single" w:sz="8" w:space="0" w:color="auto"/>
            </w:tcBorders>
            <w:shd w:val="clear" w:color="auto" w:fill="auto"/>
            <w:vAlign w:val="center"/>
            <w:hideMark/>
          </w:tcPr>
          <w:p w:rsidR="00D42A0E" w:rsidRDefault="00D42A0E" w:rsidP="00C64A59">
            <w:r w:rsidRPr="009C5CE4">
              <w:t xml:space="preserve">Συμπληρωματική πρόταση του Ε΄ Αντιπροέδρου της Βουλής, κ. Δημητρίου </w:t>
            </w:r>
            <w:proofErr w:type="spellStart"/>
            <w:r w:rsidRPr="009C5CE4">
              <w:t>Κρεμαστινού</w:t>
            </w:r>
            <w:proofErr w:type="spellEnd"/>
            <w:r w:rsidRPr="009C5CE4">
              <w:t xml:space="preserve">, και Βουλευτών ΣΥΡΙΖΑ - Ένωσης Κεντρώων - Ανεξαρτήτων Βουλευτών </w:t>
            </w:r>
          </w:p>
          <w:p w:rsidR="00D42A0E" w:rsidRPr="009C5CE4" w:rsidRDefault="00D42A0E" w:rsidP="00C64A59">
            <w:r w:rsidRPr="009C5CE4">
              <w:t xml:space="preserve"> «ορισμός αναπληρωτή Πρωθυπουργού σε περίπτωση αδυναμίας επιτέλεσης των πρωθυπουργικών καθηκόντων από τον Πρωθυπουργό για λόγους υγείας». Συμπεριλαμβάνεται στην πρόταση της Δημοκρατικής Συμπαράταξης.</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single" w:sz="8" w:space="0" w:color="auto"/>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 xml:space="preserve">Άρθρο 96 </w:t>
            </w:r>
            <w:r w:rsidRPr="004C1070">
              <w:rPr>
                <w:b/>
                <w:bCs/>
              </w:rPr>
              <w:t xml:space="preserve">παρ. 5 </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233</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19</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19</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271</w:t>
            </w:r>
          </w:p>
        </w:tc>
      </w:tr>
      <w:tr w:rsidR="00D42A0E" w:rsidRPr="009C5CE4" w:rsidTr="00C64A59">
        <w:trPr>
          <w:trHeight w:val="31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Default="00D42A0E" w:rsidP="00C64A59">
            <w:r>
              <w:lastRenderedPageBreak/>
              <w:t>Πρόταση βουλευτών ΝΔ</w:t>
            </w:r>
          </w:p>
          <w:p w:rsidR="00D42A0E" w:rsidRPr="009C5CE4" w:rsidRDefault="00D42A0E" w:rsidP="00C64A59">
            <w:r w:rsidRPr="009C5CE4">
              <w:t>Δικαστικό Σώμα Ενόπλων Δυνάμεων</w:t>
            </w:r>
            <w:r>
              <w:t xml:space="preserve"> (εξομοίωση δικαστικού σώματος Ενόπλων Δυνάμεων με τους τακτικούς δικαστές)</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101 παρ. 1</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151</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95</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22</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268</w:t>
            </w:r>
          </w:p>
        </w:tc>
      </w:tr>
      <w:tr w:rsidR="00D42A0E" w:rsidRPr="009C5CE4" w:rsidTr="00C64A59">
        <w:trPr>
          <w:trHeight w:val="49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C5CE4" w:rsidRDefault="00D42A0E" w:rsidP="00C64A59">
            <w:r w:rsidRPr="009C5CE4">
              <w:t>Συμπληρωματική πρόταση βουλευτών ΣΥΡΙΖΑ - ΑΝΕΛ προς την κατεύθυνση καθιέρωσης διάταξης ότι νόμος ορίζει το σύστημα περιφερειακής οργάνωσης της κεντρικής διοίκησης.</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nil"/>
              <w:left w:val="single" w:sz="8" w:space="0" w:color="auto"/>
              <w:bottom w:val="nil"/>
              <w:right w:val="single" w:sz="8" w:space="0" w:color="auto"/>
            </w:tcBorders>
            <w:shd w:val="clear" w:color="auto" w:fill="auto"/>
            <w:vAlign w:val="center"/>
            <w:hideMark/>
          </w:tcPr>
          <w:p w:rsidR="00D42A0E" w:rsidRPr="009C5CE4" w:rsidRDefault="00D42A0E" w:rsidP="00C64A59">
            <w:pPr>
              <w:rPr>
                <w:b/>
                <w:bCs/>
              </w:rPr>
            </w:pPr>
            <w:r w:rsidRPr="009C5CE4">
              <w:rPr>
                <w:b/>
                <w:bCs/>
              </w:rPr>
              <w:t>Άρθρο 101 παρ. 4</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165</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96</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6</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267</w:t>
            </w:r>
          </w:p>
        </w:tc>
      </w:tr>
      <w:tr w:rsidR="00D42A0E" w:rsidRPr="009C5CE4" w:rsidTr="00C64A59">
        <w:trPr>
          <w:trHeight w:val="735"/>
        </w:trPr>
        <w:tc>
          <w:tcPr>
            <w:tcW w:w="2671" w:type="pct"/>
            <w:tcBorders>
              <w:top w:val="nil"/>
              <w:left w:val="single" w:sz="8" w:space="0" w:color="auto"/>
              <w:bottom w:val="single" w:sz="8" w:space="0" w:color="auto"/>
              <w:right w:val="single" w:sz="8" w:space="0" w:color="auto"/>
            </w:tcBorders>
            <w:shd w:val="clear" w:color="auto" w:fill="auto"/>
            <w:vAlign w:val="center"/>
            <w:hideMark/>
          </w:tcPr>
          <w:p w:rsidR="00D42A0E" w:rsidRPr="009C5CE4" w:rsidRDefault="00D42A0E" w:rsidP="00C64A59">
            <w:r w:rsidRPr="009C5CE4">
              <w:t>Συμπληρωματική πρόταση βουλευτών του ΣΥΡΙΖΑ προς την κατεύθυνση της εύρυθμης και απρόσκοπτης λειτουργίας της διοίκησης και της οικονομικής και κοινωνικής ανάπτυξης των νησιωτικών και ορεινών περιοχών.</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300"/>
        </w:trPr>
        <w:tc>
          <w:tcPr>
            <w:tcW w:w="2671" w:type="pct"/>
            <w:tcBorders>
              <w:top w:val="nil"/>
              <w:left w:val="single" w:sz="8" w:space="0" w:color="auto"/>
              <w:bottom w:val="nil"/>
              <w:right w:val="nil"/>
            </w:tcBorders>
            <w:shd w:val="clear" w:color="auto" w:fill="auto"/>
            <w:vAlign w:val="center"/>
            <w:hideMark/>
          </w:tcPr>
          <w:p w:rsidR="00D42A0E" w:rsidRPr="009C5CE4" w:rsidRDefault="00D42A0E" w:rsidP="00C64A59">
            <w:pPr>
              <w:rPr>
                <w:b/>
                <w:bCs/>
              </w:rPr>
            </w:pPr>
            <w:r w:rsidRPr="009C5CE4">
              <w:rPr>
                <w:b/>
                <w:bCs/>
              </w:rPr>
              <w:t>Άρθρο 101</w:t>
            </w:r>
          </w:p>
        </w:tc>
        <w:tc>
          <w:tcPr>
            <w:tcW w:w="64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170</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94</w:t>
            </w:r>
          </w:p>
        </w:tc>
        <w:tc>
          <w:tcPr>
            <w:tcW w:w="583"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w:t>
            </w:r>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D42A0E" w:rsidRPr="009C5CE4" w:rsidRDefault="00D42A0E" w:rsidP="00C64A59">
            <w:pPr>
              <w:rPr>
                <w:b/>
                <w:bCs/>
              </w:rPr>
            </w:pPr>
            <w:r w:rsidRPr="009C5CE4">
              <w:rPr>
                <w:b/>
                <w:bCs/>
              </w:rPr>
              <w:t>266</w:t>
            </w:r>
          </w:p>
        </w:tc>
      </w:tr>
      <w:tr w:rsidR="00D42A0E" w:rsidRPr="009C5CE4" w:rsidTr="00C64A59">
        <w:trPr>
          <w:trHeight w:val="300"/>
        </w:trPr>
        <w:tc>
          <w:tcPr>
            <w:tcW w:w="2671" w:type="pct"/>
            <w:tcBorders>
              <w:top w:val="nil"/>
              <w:left w:val="single" w:sz="8" w:space="0" w:color="auto"/>
              <w:bottom w:val="nil"/>
              <w:right w:val="nil"/>
            </w:tcBorders>
            <w:shd w:val="clear" w:color="auto" w:fill="auto"/>
            <w:vAlign w:val="center"/>
            <w:hideMark/>
          </w:tcPr>
          <w:p w:rsidR="00D42A0E" w:rsidRPr="009C5CE4" w:rsidRDefault="00D42A0E" w:rsidP="00C64A59">
            <w:pPr>
              <w:rPr>
                <w:b/>
                <w:bCs/>
              </w:rPr>
            </w:pPr>
            <w:r w:rsidRPr="009C5CE4">
              <w:rPr>
                <w:b/>
                <w:bCs/>
              </w:rPr>
              <w:t>(εισαγωγή ερμηνευτικής παραγράφου)</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r w:rsidR="00D42A0E" w:rsidRPr="009C5CE4" w:rsidTr="00C64A59">
        <w:trPr>
          <w:trHeight w:val="735"/>
        </w:trPr>
        <w:tc>
          <w:tcPr>
            <w:tcW w:w="2671" w:type="pct"/>
            <w:tcBorders>
              <w:top w:val="nil"/>
              <w:left w:val="single" w:sz="8" w:space="0" w:color="auto"/>
              <w:bottom w:val="single" w:sz="8" w:space="0" w:color="auto"/>
              <w:right w:val="nil"/>
            </w:tcBorders>
            <w:shd w:val="clear" w:color="auto" w:fill="auto"/>
            <w:vAlign w:val="center"/>
            <w:hideMark/>
          </w:tcPr>
          <w:p w:rsidR="00D42A0E" w:rsidRPr="009C5CE4" w:rsidRDefault="00D42A0E" w:rsidP="00C64A59">
            <w:r w:rsidRPr="009C5CE4">
              <w:t xml:space="preserve">Συμπληρωματική πρόταση βουλευτών του ΣΥΡΙΖΑ προς την κατεύθυνση προσαρμογής του διοικητικού μοντέλου στο περιβάλλον των νησιωτικών και ορεινών περιοχών με την εκπόνηση επιχειρησιακών σχεδίων και την παροχή κινήτρων στους δημοσίους </w:t>
            </w:r>
            <w:r>
              <w:t xml:space="preserve"> </w:t>
            </w:r>
            <w:r w:rsidRPr="009C5CE4">
              <w:t>υπαλλήλους.</w:t>
            </w:r>
          </w:p>
        </w:tc>
        <w:tc>
          <w:tcPr>
            <w:tcW w:w="64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2"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83"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c>
          <w:tcPr>
            <w:tcW w:w="517" w:type="pct"/>
            <w:vMerge/>
            <w:tcBorders>
              <w:top w:val="nil"/>
              <w:left w:val="single" w:sz="8" w:space="0" w:color="auto"/>
              <w:bottom w:val="single" w:sz="8" w:space="0" w:color="000000"/>
              <w:right w:val="single" w:sz="8" w:space="0" w:color="auto"/>
            </w:tcBorders>
            <w:vAlign w:val="center"/>
            <w:hideMark/>
          </w:tcPr>
          <w:p w:rsidR="00D42A0E" w:rsidRPr="009C5CE4" w:rsidRDefault="00D42A0E" w:rsidP="00C64A59">
            <w:pPr>
              <w:rPr>
                <w:b/>
                <w:bCs/>
              </w:rPr>
            </w:pPr>
          </w:p>
        </w:tc>
      </w:tr>
    </w:tbl>
    <w:p w:rsidR="00D42A0E" w:rsidRDefault="00D42A0E" w:rsidP="00D42A0E"/>
    <w:p w:rsidR="00D42A0E" w:rsidRDefault="00D42A0E" w:rsidP="00D42A0E"/>
    <w:p w:rsidR="00EA3357" w:rsidRDefault="00EA3357"/>
    <w:sectPr w:rsidR="00EA3357" w:rsidSect="00EA335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D42A0E"/>
    <w:rsid w:val="00D42A0E"/>
    <w:rsid w:val="00EA33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A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1357</Words>
  <Characters>7332</Characters>
  <Application>Microsoft Office Word</Application>
  <DocSecurity>0</DocSecurity>
  <Lines>61</Lines>
  <Paragraphs>17</Paragraphs>
  <ScaleCrop>false</ScaleCrop>
  <Company/>
  <LinksUpToDate>false</LinksUpToDate>
  <CharactersWithSpaces>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2019-03-12T14:15:00Z</dcterms:created>
  <dcterms:modified xsi:type="dcterms:W3CDTF">2019-03-12T14:16:00Z</dcterms:modified>
</cp:coreProperties>
</file>